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981" w:rsidRPr="005E5981" w:rsidRDefault="005E5981" w:rsidP="005E5981">
      <w:pPr>
        <w:spacing w:after="0"/>
        <w:rPr>
          <w:rFonts w:eastAsia="Calibri"/>
          <w:sz w:val="24"/>
        </w:rPr>
      </w:pPr>
      <w:r w:rsidRPr="005E5981">
        <w:rPr>
          <w:rFonts w:eastAsia="Calibri"/>
          <w:noProof/>
          <w:sz w:val="24"/>
        </w:rPr>
        <mc:AlternateContent>
          <mc:Choice Requires="wps">
            <w:drawing>
              <wp:anchor distT="0" distB="0" distL="114300" distR="114300" simplePos="0" relativeHeight="251682814" behindDoc="0" locked="0" layoutInCell="1" allowOverlap="1" wp14:anchorId="4EAEF20D" wp14:editId="2888C639">
                <wp:simplePos x="0" y="0"/>
                <wp:positionH relativeFrom="column">
                  <wp:posOffset>4067175</wp:posOffset>
                </wp:positionH>
                <wp:positionV relativeFrom="paragraph">
                  <wp:posOffset>19050</wp:posOffset>
                </wp:positionV>
                <wp:extent cx="2042795" cy="3378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2042795" cy="337820"/>
                        </a:xfrm>
                        <a:prstGeom prst="rect">
                          <a:avLst/>
                        </a:prstGeom>
                        <a:noFill/>
                        <a:ln>
                          <a:noFill/>
                        </a:ln>
                        <a:effectLst/>
                      </wps:spPr>
                      <wps:txbx>
                        <w:txbxContent>
                          <w:p w:rsidR="00F7141A" w:rsidRPr="00F37CDE" w:rsidRDefault="00F7141A" w:rsidP="00F7141A">
                            <w:pPr>
                              <w:rPr>
                                <w:color w:val="FFFFFF" w:themeColor="background1"/>
                                <w:sz w:val="25"/>
                                <w:szCs w:val="25"/>
                              </w:rPr>
                            </w:pPr>
                            <w:r>
                              <w:rPr>
                                <w:color w:val="FFFFFF" w:themeColor="background1"/>
                                <w:sz w:val="25"/>
                                <w:szCs w:val="25"/>
                              </w:rPr>
                              <w:t>Nutrient Reduction Strategy</w:t>
                            </w:r>
                          </w:p>
                          <w:p w:rsidR="005E5981" w:rsidRPr="00F7141A" w:rsidRDefault="005E5981" w:rsidP="005E5981">
                            <w:pPr>
                              <w:rPr>
                                <w:color w:val="FFFFFF" w:themeColor="background1"/>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F20D" id="_x0000_t202" coordsize="21600,21600" o:spt="202" path="m,l,21600r21600,l21600,xe">
                <v:stroke joinstyle="miter"/>
                <v:path gradientshapeok="t" o:connecttype="rect"/>
              </v:shapetype>
              <v:shape id="Text Box 3" o:spid="_x0000_s1026" type="#_x0000_t202" style="position:absolute;margin-left:320.25pt;margin-top:1.5pt;width:160.85pt;height:26.6pt;z-index:251682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" filled="f" stroked="f">
                <v:textbox>
                  <w:txbxContent>
                    <w:p w:rsidR="00F7141A" w:rsidRPr="00F37CDE" w:rsidRDefault="00F7141A" w:rsidP="00F7141A">
                      <w:pPr>
                        <w:rPr>
                          <w:color w:val="FFFFFF" w:themeColor="background1"/>
                          <w:sz w:val="25"/>
                          <w:szCs w:val="25"/>
                        </w:rPr>
                      </w:pPr>
                      <w:r>
                        <w:rPr>
                          <w:color w:val="FFFFFF" w:themeColor="background1"/>
                          <w:sz w:val="25"/>
                          <w:szCs w:val="25"/>
                        </w:rPr>
                        <w:t>Nutrient Reduction Strategy</w:t>
                      </w:r>
                    </w:p>
                    <w:p w:rsidR="005E5981" w:rsidRPr="00F7141A" w:rsidRDefault="005E5981" w:rsidP="005E5981">
                      <w:pPr>
                        <w:rPr>
                          <w:color w:val="FFFFFF" w:themeColor="background1"/>
                          <w:sz w:val="25"/>
                          <w:szCs w:val="25"/>
                        </w:rPr>
                      </w:pPr>
                    </w:p>
                  </w:txbxContent>
                </v:textbox>
              </v:shape>
            </w:pict>
          </mc:Fallback>
        </mc:AlternateContent>
      </w:r>
      <w:r w:rsidRPr="005E5981">
        <w:rPr>
          <w:rFonts w:eastAsia="Calibri"/>
          <w:noProof/>
          <w:sz w:val="24"/>
        </w:rPr>
        <w:drawing>
          <wp:anchor distT="0" distB="0" distL="114300" distR="114300" simplePos="0" relativeHeight="251680766" behindDoc="1" locked="1" layoutInCell="1" allowOverlap="1" wp14:anchorId="5976C6CA" wp14:editId="3CB51E62">
            <wp:simplePos x="0" y="0"/>
            <wp:positionH relativeFrom="column">
              <wp:posOffset>-914400</wp:posOffset>
            </wp:positionH>
            <wp:positionV relativeFrom="page">
              <wp:posOffset>0</wp:posOffset>
            </wp:positionV>
            <wp:extent cx="7799705" cy="10093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Report-Cover-Template-BG.pdf"/>
                    <pic:cNvPicPr/>
                  </pic:nvPicPr>
                  <pic:blipFill>
                    <a:blip r:embed="rId8">
                      <a:extLst>
                        <a:ext uri="{28A0092B-C50C-407E-A947-70E740481C1C}">
                          <a14:useLocalDpi xmlns:a14="http://schemas.microsoft.com/office/drawing/2010/main" val="0"/>
                        </a:ext>
                      </a:extLst>
                    </a:blip>
                    <a:stretch>
                      <a:fillRect/>
                    </a:stretch>
                  </pic:blipFill>
                  <pic:spPr>
                    <a:xfrm>
                      <a:off x="0" y="0"/>
                      <a:ext cx="7799705" cy="10093325"/>
                    </a:xfrm>
                    <a:prstGeom prst="rect">
                      <a:avLst/>
                    </a:prstGeom>
                  </pic:spPr>
                </pic:pic>
              </a:graphicData>
            </a:graphic>
            <wp14:sizeRelH relativeFrom="margin">
              <wp14:pctWidth>0</wp14:pctWidth>
            </wp14:sizeRelH>
            <wp14:sizeRelV relativeFrom="margin">
              <wp14:pctHeight>0</wp14:pctHeight>
            </wp14:sizeRelV>
          </wp:anchor>
        </w:drawing>
      </w:r>
    </w:p>
    <w:p w:rsidR="009E6D0D" w:rsidRDefault="00F7141A" w:rsidP="004E066B">
      <w:pPr>
        <w:pStyle w:val="PCABodyText11"/>
        <w:rPr>
          <w:noProof/>
        </w:rPr>
      </w:pPr>
      <w:r w:rsidRPr="005E5981">
        <w:rPr>
          <w:rFonts w:eastAsia="Calibri"/>
          <w:noProof/>
          <w:sz w:val="24"/>
        </w:rPr>
        <mc:AlternateContent>
          <mc:Choice Requires="wps">
            <w:drawing>
              <wp:anchor distT="0" distB="0" distL="114300" distR="114300" simplePos="0" relativeHeight="251681790" behindDoc="0" locked="0" layoutInCell="1" allowOverlap="1" wp14:anchorId="222948F5" wp14:editId="24E0A716">
                <wp:simplePos x="0" y="0"/>
                <wp:positionH relativeFrom="column">
                  <wp:posOffset>161925</wp:posOffset>
                </wp:positionH>
                <wp:positionV relativeFrom="paragraph">
                  <wp:posOffset>271145</wp:posOffset>
                </wp:positionV>
                <wp:extent cx="5829300" cy="24193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419350"/>
                        </a:xfrm>
                        <a:prstGeom prst="rect">
                          <a:avLst/>
                        </a:prstGeom>
                        <a:noFill/>
                        <a:ln>
                          <a:noFill/>
                        </a:ln>
                        <a:effectLst/>
                      </wps:spPr>
                      <wps:txbx>
                        <w:txbxContent>
                          <w:p w:rsidR="005E5981" w:rsidRPr="005E5981" w:rsidRDefault="00F656B3" w:rsidP="005E5981">
                            <w:pPr>
                              <w:pStyle w:val="p1"/>
                              <w:rPr>
                                <w:rFonts w:ascii="Calibri Light" w:hAnsi="Calibri Light"/>
                                <w:color w:val="FFFFFF"/>
                                <w:sz w:val="25"/>
                                <w:szCs w:val="25"/>
                              </w:rPr>
                            </w:pPr>
                            <w:r>
                              <w:rPr>
                                <w:rFonts w:ascii="Calibri Light" w:hAnsi="Calibri Light"/>
                                <w:color w:val="FFFFFF"/>
                                <w:sz w:val="25"/>
                                <w:szCs w:val="25"/>
                              </w:rPr>
                              <w:t>August</w:t>
                            </w:r>
                            <w:r w:rsidR="00F7141A">
                              <w:rPr>
                                <w:rFonts w:ascii="Calibri Light" w:hAnsi="Calibri Light"/>
                                <w:color w:val="FFFFFF"/>
                                <w:sz w:val="25"/>
                                <w:szCs w:val="25"/>
                              </w:rPr>
                              <w:t xml:space="preserve"> </w:t>
                            </w:r>
                            <w:r w:rsidR="00422F51">
                              <w:rPr>
                                <w:rFonts w:ascii="Calibri Light" w:hAnsi="Calibri Light"/>
                                <w:color w:val="FFFFFF"/>
                                <w:sz w:val="25"/>
                                <w:szCs w:val="25"/>
                              </w:rPr>
                              <w:t>2020</w:t>
                            </w:r>
                          </w:p>
                          <w:p w:rsidR="005E5981" w:rsidRPr="005E5981" w:rsidRDefault="005E5981" w:rsidP="005E5981">
                            <w:pPr>
                              <w:pStyle w:val="p1"/>
                              <w:rPr>
                                <w:rFonts w:ascii="Calibri Light" w:hAnsi="Calibri Light"/>
                                <w:b/>
                                <w:bCs/>
                                <w:color w:val="FFFFFF"/>
                                <w:sz w:val="25"/>
                                <w:szCs w:val="25"/>
                              </w:rPr>
                            </w:pPr>
                          </w:p>
                          <w:p w:rsidR="00F7141A" w:rsidRDefault="00F7141A" w:rsidP="00F7141A">
                            <w:pPr>
                              <w:pStyle w:val="p1"/>
                              <w:rPr>
                                <w:b/>
                                <w:bCs/>
                                <w:color w:val="FFFFFF"/>
                                <w:sz w:val="56"/>
                                <w:szCs w:val="56"/>
                              </w:rPr>
                            </w:pPr>
                            <w:r>
                              <w:rPr>
                                <w:b/>
                                <w:bCs/>
                                <w:color w:val="FFFFFF"/>
                                <w:sz w:val="56"/>
                                <w:szCs w:val="56"/>
                              </w:rPr>
                              <w:t>Appendix B:</w:t>
                            </w:r>
                          </w:p>
                          <w:p w:rsidR="00F7141A" w:rsidRDefault="00F7141A" w:rsidP="00F7141A">
                            <w:pPr>
                              <w:pStyle w:val="p1"/>
                              <w:rPr>
                                <w:b/>
                                <w:bCs/>
                                <w:color w:val="FFFFFF"/>
                                <w:sz w:val="56"/>
                                <w:szCs w:val="56"/>
                              </w:rPr>
                            </w:pPr>
                            <w:r>
                              <w:rPr>
                                <w:b/>
                                <w:bCs/>
                                <w:color w:val="FFFFFF"/>
                                <w:sz w:val="56"/>
                                <w:szCs w:val="56"/>
                              </w:rPr>
                              <w:t xml:space="preserve">External Factors Affecting Nutrients in Water </w:t>
                            </w:r>
                          </w:p>
                          <w:p w:rsidR="00F7141A" w:rsidRPr="00ED428A" w:rsidRDefault="00F7141A" w:rsidP="00F7141A">
                            <w:pPr>
                              <w:pStyle w:val="p1"/>
                              <w:rPr>
                                <w:b/>
                                <w:bCs/>
                                <w:color w:val="0F243E" w:themeColor="text2" w:themeShade="80"/>
                                <w:sz w:val="36"/>
                                <w:szCs w:val="56"/>
                              </w:rPr>
                            </w:pPr>
                            <w:r w:rsidRPr="00ED428A">
                              <w:rPr>
                                <w:b/>
                                <w:bCs/>
                                <w:color w:val="0F243E" w:themeColor="text2" w:themeShade="80"/>
                                <w:sz w:val="36"/>
                                <w:szCs w:val="56"/>
                              </w:rPr>
                              <w:t xml:space="preserve">5-year Progress Report on </w:t>
                            </w:r>
                          </w:p>
                          <w:p w:rsidR="00F7141A" w:rsidRPr="00ED428A" w:rsidRDefault="00F7141A" w:rsidP="00F7141A">
                            <w:pPr>
                              <w:pStyle w:val="p1"/>
                              <w:rPr>
                                <w:color w:val="0F243E" w:themeColor="text2" w:themeShade="80"/>
                                <w:sz w:val="24"/>
                              </w:rPr>
                            </w:pPr>
                            <w:r w:rsidRPr="00ED428A">
                              <w:rPr>
                                <w:b/>
                                <w:bCs/>
                                <w:color w:val="0F243E" w:themeColor="text2" w:themeShade="80"/>
                                <w:sz w:val="36"/>
                                <w:szCs w:val="56"/>
                              </w:rPr>
                              <w:t>Minnesota’s Nutrient Reduction Strategy</w:t>
                            </w:r>
                          </w:p>
                          <w:p w:rsidR="005E5981" w:rsidRPr="005E5981" w:rsidRDefault="005E5981" w:rsidP="005E5981">
                            <w:pPr>
                              <w:pStyle w:val="p2"/>
                              <w:rPr>
                                <w:color w:val="FFFFFF"/>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2948F5" id="_x0000_t202" coordsize="21600,21600" o:spt="202" path="m,l,21600r21600,l21600,xe">
                <v:stroke joinstyle="miter"/>
                <v:path gradientshapeok="t" o:connecttype="rect"/>
              </v:shapetype>
              <v:shape id="Text Box 2" o:spid="_x0000_s1027" type="#_x0000_t202" style="position:absolute;margin-left:12.75pt;margin-top:21.35pt;width:459pt;height:190.5pt;z-index:251681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" filled="f" stroked="f">
                <v:textbox>
                  <w:txbxContent>
                    <w:p w:rsidR="005E5981" w:rsidRPr="005E5981" w:rsidRDefault="00F656B3" w:rsidP="005E5981">
                      <w:pPr>
                        <w:pStyle w:val="p1"/>
                        <w:rPr>
                          <w:rFonts w:ascii="Calibri Light" w:hAnsi="Calibri Light"/>
                          <w:color w:val="FFFFFF"/>
                          <w:sz w:val="25"/>
                          <w:szCs w:val="25"/>
                        </w:rPr>
                      </w:pPr>
                      <w:r>
                        <w:rPr>
                          <w:rFonts w:ascii="Calibri Light" w:hAnsi="Calibri Light"/>
                          <w:color w:val="FFFFFF"/>
                          <w:sz w:val="25"/>
                          <w:szCs w:val="25"/>
                        </w:rPr>
                        <w:t>August</w:t>
                      </w:r>
                      <w:r w:rsidR="00F7141A">
                        <w:rPr>
                          <w:rFonts w:ascii="Calibri Light" w:hAnsi="Calibri Light"/>
                          <w:color w:val="FFFFFF"/>
                          <w:sz w:val="25"/>
                          <w:szCs w:val="25"/>
                        </w:rPr>
                        <w:t xml:space="preserve"> </w:t>
                      </w:r>
                      <w:r w:rsidR="00422F51">
                        <w:rPr>
                          <w:rFonts w:ascii="Calibri Light" w:hAnsi="Calibri Light"/>
                          <w:color w:val="FFFFFF"/>
                          <w:sz w:val="25"/>
                          <w:szCs w:val="25"/>
                        </w:rPr>
                        <w:t>2020</w:t>
                      </w:r>
                    </w:p>
                    <w:p w:rsidR="005E5981" w:rsidRPr="005E5981" w:rsidRDefault="005E5981" w:rsidP="005E5981">
                      <w:pPr>
                        <w:pStyle w:val="p1"/>
                        <w:rPr>
                          <w:rFonts w:ascii="Calibri Light" w:hAnsi="Calibri Light"/>
                          <w:b/>
                          <w:bCs/>
                          <w:color w:val="FFFFFF"/>
                          <w:sz w:val="25"/>
                          <w:szCs w:val="25"/>
                        </w:rPr>
                      </w:pPr>
                    </w:p>
                    <w:p w:rsidR="00F7141A" w:rsidRDefault="00F7141A" w:rsidP="00F7141A">
                      <w:pPr>
                        <w:pStyle w:val="p1"/>
                        <w:rPr>
                          <w:b/>
                          <w:bCs/>
                          <w:color w:val="FFFFFF"/>
                          <w:sz w:val="56"/>
                          <w:szCs w:val="56"/>
                        </w:rPr>
                      </w:pPr>
                      <w:r>
                        <w:rPr>
                          <w:b/>
                          <w:bCs/>
                          <w:color w:val="FFFFFF"/>
                          <w:sz w:val="56"/>
                          <w:szCs w:val="56"/>
                        </w:rPr>
                        <w:t>Appendix B:</w:t>
                      </w:r>
                    </w:p>
                    <w:p w:rsidR="00F7141A" w:rsidRDefault="00F7141A" w:rsidP="00F7141A">
                      <w:pPr>
                        <w:pStyle w:val="p1"/>
                        <w:rPr>
                          <w:b/>
                          <w:bCs/>
                          <w:color w:val="FFFFFF"/>
                          <w:sz w:val="56"/>
                          <w:szCs w:val="56"/>
                        </w:rPr>
                      </w:pPr>
                      <w:r>
                        <w:rPr>
                          <w:b/>
                          <w:bCs/>
                          <w:color w:val="FFFFFF"/>
                          <w:sz w:val="56"/>
                          <w:szCs w:val="56"/>
                        </w:rPr>
                        <w:t xml:space="preserve">External Factors Affecting Nutrients in Water </w:t>
                      </w:r>
                    </w:p>
                    <w:p w:rsidR="00F7141A" w:rsidRPr="00ED428A" w:rsidRDefault="00F7141A" w:rsidP="00F7141A">
                      <w:pPr>
                        <w:pStyle w:val="p1"/>
                        <w:rPr>
                          <w:b/>
                          <w:bCs/>
                          <w:color w:val="0F243E" w:themeColor="text2" w:themeShade="80"/>
                          <w:sz w:val="36"/>
                          <w:szCs w:val="56"/>
                        </w:rPr>
                      </w:pPr>
                      <w:r w:rsidRPr="00ED428A">
                        <w:rPr>
                          <w:b/>
                          <w:bCs/>
                          <w:color w:val="0F243E" w:themeColor="text2" w:themeShade="80"/>
                          <w:sz w:val="36"/>
                          <w:szCs w:val="56"/>
                        </w:rPr>
                        <w:t xml:space="preserve">5-year Progress Report on </w:t>
                      </w:r>
                    </w:p>
                    <w:p w:rsidR="00F7141A" w:rsidRPr="00ED428A" w:rsidRDefault="00F7141A" w:rsidP="00F7141A">
                      <w:pPr>
                        <w:pStyle w:val="p1"/>
                        <w:rPr>
                          <w:color w:val="0F243E" w:themeColor="text2" w:themeShade="80"/>
                          <w:sz w:val="24"/>
                        </w:rPr>
                      </w:pPr>
                      <w:r w:rsidRPr="00ED428A">
                        <w:rPr>
                          <w:b/>
                          <w:bCs/>
                          <w:color w:val="0F243E" w:themeColor="text2" w:themeShade="80"/>
                          <w:sz w:val="36"/>
                          <w:szCs w:val="56"/>
                        </w:rPr>
                        <w:t>Minnesota’s Nutrient Reduction Strategy</w:t>
                      </w:r>
                    </w:p>
                    <w:p w:rsidR="005E5981" w:rsidRPr="005E5981" w:rsidRDefault="005E5981" w:rsidP="005E5981">
                      <w:pPr>
                        <w:pStyle w:val="p2"/>
                        <w:rPr>
                          <w:color w:val="FFFFFF"/>
                          <w:sz w:val="25"/>
                          <w:szCs w:val="25"/>
                        </w:rPr>
                      </w:pPr>
                    </w:p>
                  </w:txbxContent>
                </v:textbox>
                <w10:wrap type="square"/>
              </v:shape>
            </w:pict>
          </mc:Fallback>
        </mc:AlternateContent>
      </w:r>
      <w:r w:rsidR="005E5981" w:rsidRPr="005E5981">
        <w:rPr>
          <w:rFonts w:eastAsia="Calibri"/>
          <w:noProof/>
          <w:sz w:val="24"/>
        </w:rPr>
        <w:drawing>
          <wp:anchor distT="0" distB="0" distL="114300" distR="114300" simplePos="0" relativeHeight="251683838" behindDoc="1" locked="0" layoutInCell="1" allowOverlap="1" wp14:anchorId="639E7262" wp14:editId="50971289">
            <wp:simplePos x="0" y="0"/>
            <wp:positionH relativeFrom="margin">
              <wp:posOffset>-228600</wp:posOffset>
            </wp:positionH>
            <wp:positionV relativeFrom="paragraph">
              <wp:posOffset>3042920</wp:posOffset>
            </wp:positionV>
            <wp:extent cx="6400800" cy="3867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tewater-treatment-mankato.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0080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A03" w:rsidRPr="00B239F8" w:rsidRDefault="00C34A03" w:rsidP="004E066B">
      <w:pPr>
        <w:pStyle w:val="PCABodyText11"/>
        <w:rPr>
          <w:color w:val="FFFFFF" w:themeColor="background1"/>
        </w:rPr>
        <w:sectPr w:rsidR="00C34A03" w:rsidRPr="00B239F8">
          <w:footerReference w:type="default" r:id="rId10"/>
          <w:pgSz w:w="12240" w:h="15840" w:code="1"/>
          <w:pgMar w:top="1080" w:right="1440" w:bottom="1080" w:left="1440" w:header="720" w:footer="720" w:gutter="0"/>
          <w:cols w:space="720"/>
          <w:docGrid w:linePitch="360"/>
        </w:sectPr>
      </w:pPr>
    </w:p>
    <w:p w:rsidR="00F7141A" w:rsidRPr="00A12320" w:rsidRDefault="00F7141A" w:rsidP="00F7141A">
      <w:pPr>
        <w:keepNext/>
        <w:keepLines/>
        <w:spacing w:before="240"/>
        <w:outlineLvl w:val="0"/>
        <w:rPr>
          <w:rFonts w:ascii="Calibri Light" w:eastAsia="Yu Gothic Light" w:hAnsi="Calibri Light"/>
          <w:b/>
          <w:color w:val="2E74B5"/>
          <w:sz w:val="32"/>
          <w:szCs w:val="32"/>
        </w:rPr>
      </w:pPr>
      <w:bookmarkStart w:id="0" w:name="_Toc36734204"/>
      <w:r w:rsidRPr="00A12320">
        <w:rPr>
          <w:rFonts w:ascii="Calibri Light" w:eastAsia="Yu Gothic Light" w:hAnsi="Calibri Light"/>
          <w:b/>
          <w:color w:val="2E74B5"/>
          <w:sz w:val="32"/>
          <w:szCs w:val="32"/>
        </w:rPr>
        <w:lastRenderedPageBreak/>
        <w:t xml:space="preserve">Appendix B. External Factors Affecting </w:t>
      </w:r>
      <w:bookmarkEnd w:id="0"/>
      <w:r>
        <w:rPr>
          <w:rFonts w:ascii="Calibri Light" w:eastAsia="Yu Gothic Light" w:hAnsi="Calibri Light"/>
          <w:b/>
          <w:color w:val="2E74B5"/>
          <w:sz w:val="32"/>
          <w:szCs w:val="32"/>
        </w:rPr>
        <w:t>Nutrients in Water</w:t>
      </w:r>
    </w:p>
    <w:p w:rsidR="00F7141A" w:rsidRPr="005A596F" w:rsidRDefault="00F7141A" w:rsidP="00F7141A">
      <w:pPr>
        <w:rPr>
          <w:rFonts w:eastAsia="Calibri"/>
          <w:b/>
          <w:szCs w:val="22"/>
        </w:rPr>
      </w:pPr>
      <w:r w:rsidRPr="005A596F">
        <w:rPr>
          <w:rFonts w:eastAsia="Calibri"/>
          <w:b/>
          <w:szCs w:val="22"/>
        </w:rPr>
        <w:t xml:space="preserve">Written </w:t>
      </w:r>
      <w:r>
        <w:rPr>
          <w:rFonts w:eastAsia="Calibri"/>
          <w:b/>
          <w:szCs w:val="22"/>
        </w:rPr>
        <w:t xml:space="preserve">by Dave Wall of the MPCA </w:t>
      </w:r>
      <w:r w:rsidRPr="005A596F">
        <w:rPr>
          <w:rFonts w:eastAsia="Calibri"/>
          <w:b/>
          <w:szCs w:val="22"/>
        </w:rPr>
        <w:t>in association with Minnesota’s Nutrient Reduction Strategy 5-year Progress Report (2020)</w:t>
      </w:r>
    </w:p>
    <w:p w:rsidR="00F7141A" w:rsidRPr="00A12320" w:rsidRDefault="00F7141A" w:rsidP="00F7141A">
      <w:pPr>
        <w:rPr>
          <w:rFonts w:eastAsia="Calibri"/>
          <w:szCs w:val="22"/>
        </w:rPr>
      </w:pPr>
      <w:r w:rsidRPr="00A12320">
        <w:rPr>
          <w:rFonts w:eastAsia="Calibri"/>
          <w:szCs w:val="22"/>
        </w:rPr>
        <w:t xml:space="preserve">Many external factors </w:t>
      </w:r>
      <w:r>
        <w:rPr>
          <w:rFonts w:eastAsia="Calibri"/>
          <w:szCs w:val="22"/>
        </w:rPr>
        <w:t xml:space="preserve">outside of management choices </w:t>
      </w:r>
      <w:r w:rsidRPr="00A12320">
        <w:rPr>
          <w:rFonts w:eastAsia="Calibri"/>
          <w:szCs w:val="22"/>
        </w:rPr>
        <w:t xml:space="preserve">influence nutrient delivery </w:t>
      </w:r>
      <w:r>
        <w:rPr>
          <w:rFonts w:eastAsia="Calibri"/>
          <w:szCs w:val="22"/>
        </w:rPr>
        <w:t xml:space="preserve">to waters </w:t>
      </w:r>
      <w:r w:rsidRPr="00A12320">
        <w:rPr>
          <w:rFonts w:eastAsia="Calibri"/>
          <w:szCs w:val="22"/>
        </w:rPr>
        <w:t xml:space="preserve">over time, including </w:t>
      </w:r>
      <w:r>
        <w:rPr>
          <w:rFonts w:eastAsia="Calibri"/>
          <w:szCs w:val="22"/>
        </w:rPr>
        <w:t xml:space="preserve">changes in </w:t>
      </w:r>
      <w:r w:rsidRPr="00A12320">
        <w:rPr>
          <w:rFonts w:eastAsia="Calibri"/>
          <w:szCs w:val="22"/>
        </w:rPr>
        <w:t>population, climate</w:t>
      </w:r>
      <w:r>
        <w:rPr>
          <w:rFonts w:eastAsia="Calibri"/>
          <w:szCs w:val="22"/>
        </w:rPr>
        <w:t>,</w:t>
      </w:r>
      <w:r w:rsidRPr="00A12320">
        <w:rPr>
          <w:rFonts w:eastAsia="Calibri"/>
          <w:szCs w:val="22"/>
        </w:rPr>
        <w:t xml:space="preserve"> land use, river flow, and others. The ability to control these external factors vary. Together these external factors can either increase or decrease the expected nutrient reductions in waters and, as a result, have the potential to overshadow the effectiveness of adopted </w:t>
      </w:r>
      <w:r>
        <w:rPr>
          <w:rFonts w:eastAsia="Calibri"/>
          <w:szCs w:val="22"/>
        </w:rPr>
        <w:t>Best Management Practices (</w:t>
      </w:r>
      <w:r w:rsidRPr="00A12320">
        <w:rPr>
          <w:rFonts w:eastAsia="Calibri"/>
          <w:szCs w:val="22"/>
        </w:rPr>
        <w:t>BMPs</w:t>
      </w:r>
      <w:r>
        <w:rPr>
          <w:rFonts w:eastAsia="Calibri"/>
          <w:szCs w:val="22"/>
        </w:rPr>
        <w:t>)</w:t>
      </w:r>
      <w:r w:rsidRPr="00A12320">
        <w:rPr>
          <w:rFonts w:eastAsia="Calibri"/>
          <w:szCs w:val="22"/>
        </w:rPr>
        <w:t xml:space="preserve"> in reducing nutrients. </w:t>
      </w:r>
    </w:p>
    <w:p w:rsidR="00F7141A" w:rsidRPr="00A12320" w:rsidRDefault="00F7141A" w:rsidP="00F7141A">
      <w:pPr>
        <w:rPr>
          <w:rFonts w:eastAsia="Calibri" w:cs="Arial"/>
          <w:szCs w:val="22"/>
        </w:rPr>
      </w:pPr>
      <w:r w:rsidRPr="00A12320">
        <w:rPr>
          <w:rFonts w:eastAsia="Calibri" w:cs="Arial"/>
          <w:szCs w:val="22"/>
        </w:rPr>
        <w:t>Understanding the influence of external factors on water nutrient trends provides important context for comprehensively and objectively evaluating overall progress toward NRS milestones and goals</w:t>
      </w:r>
      <w:r>
        <w:rPr>
          <w:rFonts w:eastAsia="Calibri" w:cs="Arial"/>
          <w:szCs w:val="22"/>
        </w:rPr>
        <w:t>,</w:t>
      </w:r>
      <w:r w:rsidRPr="00A12320">
        <w:rPr>
          <w:rFonts w:eastAsia="Calibri" w:cs="Arial"/>
          <w:szCs w:val="22"/>
        </w:rPr>
        <w:t xml:space="preserve"> and may </w:t>
      </w:r>
      <w:r>
        <w:rPr>
          <w:rFonts w:eastAsia="Calibri" w:cs="Arial"/>
          <w:szCs w:val="22"/>
        </w:rPr>
        <w:t xml:space="preserve">help </w:t>
      </w:r>
      <w:r w:rsidRPr="00A12320">
        <w:rPr>
          <w:rFonts w:eastAsia="Calibri" w:cs="Arial"/>
          <w:szCs w:val="22"/>
        </w:rPr>
        <w:t xml:space="preserve">inform decisions about future NRS implementation approaches. This section includes </w:t>
      </w:r>
      <w:proofErr w:type="gramStart"/>
      <w:r w:rsidRPr="00A12320">
        <w:rPr>
          <w:rFonts w:eastAsia="Calibri" w:cs="Arial"/>
          <w:szCs w:val="22"/>
        </w:rPr>
        <w:t xml:space="preserve">a </w:t>
      </w:r>
      <w:r>
        <w:rPr>
          <w:rFonts w:eastAsia="Calibri" w:cs="Arial"/>
          <w:szCs w:val="22"/>
        </w:rPr>
        <w:t>summary of recent changes in certain</w:t>
      </w:r>
      <w:r w:rsidRPr="00A12320">
        <w:rPr>
          <w:rFonts w:eastAsia="Calibri" w:cs="Arial"/>
          <w:szCs w:val="22"/>
        </w:rPr>
        <w:t xml:space="preserve"> external factors and how </w:t>
      </w:r>
      <w:r>
        <w:rPr>
          <w:rFonts w:eastAsia="Calibri" w:cs="Arial"/>
          <w:szCs w:val="22"/>
        </w:rPr>
        <w:t xml:space="preserve">they generally can </w:t>
      </w:r>
      <w:r w:rsidRPr="00A12320">
        <w:rPr>
          <w:rFonts w:eastAsia="Calibri" w:cs="Arial"/>
          <w:szCs w:val="22"/>
        </w:rPr>
        <w:t>influence nutrient loads</w:t>
      </w:r>
      <w:proofErr w:type="gramEnd"/>
      <w:r w:rsidRPr="00A12320">
        <w:rPr>
          <w:rFonts w:eastAsia="Calibri" w:cs="Arial"/>
          <w:szCs w:val="22"/>
        </w:rPr>
        <w:t xml:space="preserve">. </w:t>
      </w:r>
    </w:p>
    <w:p w:rsidR="00F7141A" w:rsidRPr="00A12320" w:rsidRDefault="00F7141A" w:rsidP="00F7141A">
      <w:pPr>
        <w:keepNext/>
        <w:keepLines/>
        <w:spacing w:before="40"/>
        <w:ind w:left="540" w:hanging="540"/>
        <w:outlineLvl w:val="1"/>
        <w:rPr>
          <w:rFonts w:ascii="Calibri Light" w:eastAsia="Yu Gothic Light" w:hAnsi="Calibri Light"/>
          <w:b/>
          <w:color w:val="2E74B5"/>
          <w:sz w:val="26"/>
          <w:szCs w:val="26"/>
        </w:rPr>
      </w:pPr>
      <w:bookmarkStart w:id="1" w:name="_Toc36734205"/>
      <w:r w:rsidRPr="00A12320">
        <w:rPr>
          <w:rFonts w:ascii="Calibri Light" w:eastAsia="Yu Gothic Light" w:hAnsi="Calibri Light"/>
          <w:b/>
          <w:color w:val="2E74B5"/>
          <w:sz w:val="26"/>
          <w:szCs w:val="26"/>
        </w:rPr>
        <w:t>Population</w:t>
      </w:r>
      <w:bookmarkEnd w:id="1"/>
      <w:r w:rsidRPr="00A12320">
        <w:rPr>
          <w:rFonts w:ascii="Calibri Light" w:eastAsia="Yu Gothic Light" w:hAnsi="Calibri Light"/>
          <w:b/>
          <w:color w:val="2E74B5"/>
          <w:sz w:val="26"/>
          <w:szCs w:val="26"/>
        </w:rPr>
        <w:t xml:space="preserve"> </w:t>
      </w:r>
    </w:p>
    <w:p w:rsidR="00F7141A" w:rsidRPr="00A12320" w:rsidRDefault="00F7141A" w:rsidP="00F7141A">
      <w:pPr>
        <w:rPr>
          <w:rFonts w:eastAsia="Calibri" w:cs="Arial"/>
          <w:szCs w:val="22"/>
          <w:lang w:val="en"/>
        </w:rPr>
      </w:pPr>
      <w:r w:rsidRPr="00A12320">
        <w:rPr>
          <w:rFonts w:eastAsia="Calibri" w:cs="Arial"/>
          <w:szCs w:val="22"/>
        </w:rPr>
        <w:t>Human population influences the amount of wastewater generated</w:t>
      </w:r>
      <w:r>
        <w:rPr>
          <w:rFonts w:eastAsia="Calibri" w:cs="Arial"/>
          <w:szCs w:val="22"/>
        </w:rPr>
        <w:t xml:space="preserve"> and </w:t>
      </w:r>
      <w:proofErr w:type="gramStart"/>
      <w:r>
        <w:rPr>
          <w:rFonts w:eastAsia="Calibri" w:cs="Arial"/>
          <w:szCs w:val="22"/>
        </w:rPr>
        <w:t>can also</w:t>
      </w:r>
      <w:proofErr w:type="gramEnd"/>
      <w:r>
        <w:rPr>
          <w:rFonts w:eastAsia="Calibri" w:cs="Arial"/>
          <w:szCs w:val="22"/>
        </w:rPr>
        <w:t xml:space="preserve"> have an effect on</w:t>
      </w:r>
      <w:r w:rsidRPr="00A12320">
        <w:rPr>
          <w:rFonts w:eastAsia="Calibri" w:cs="Arial"/>
          <w:szCs w:val="22"/>
        </w:rPr>
        <w:t xml:space="preserve"> development that increases impervious surface cover and associated </w:t>
      </w:r>
      <w:proofErr w:type="spellStart"/>
      <w:r w:rsidRPr="00A12320">
        <w:rPr>
          <w:rFonts w:eastAsia="Calibri" w:cs="Arial"/>
          <w:szCs w:val="22"/>
        </w:rPr>
        <w:t>s</w:t>
      </w:r>
      <w:r>
        <w:rPr>
          <w:rFonts w:eastAsia="Calibri" w:cs="Arial"/>
          <w:szCs w:val="22"/>
        </w:rPr>
        <w:t>tormwater</w:t>
      </w:r>
      <w:proofErr w:type="spellEnd"/>
      <w:r w:rsidRPr="00A12320">
        <w:rPr>
          <w:rFonts w:eastAsia="Calibri" w:cs="Arial"/>
          <w:szCs w:val="22"/>
        </w:rPr>
        <w:t xml:space="preserve"> runoff. </w:t>
      </w:r>
      <w:r w:rsidRPr="00A12320">
        <w:rPr>
          <w:rFonts w:eastAsia="Calibri" w:cs="Arial"/>
          <w:szCs w:val="22"/>
          <w:lang w:val="en"/>
        </w:rPr>
        <w:t>According to the Minnesota State Demographic Center</w:t>
      </w:r>
      <w:r w:rsidRPr="00A12320">
        <w:rPr>
          <w:rFonts w:eastAsia="Calibri"/>
          <w:szCs w:val="22"/>
          <w:vertAlign w:val="superscript"/>
          <w:lang w:val="en"/>
        </w:rPr>
        <w:footnoteReference w:id="1"/>
      </w:r>
      <w:r w:rsidRPr="00A12320">
        <w:rPr>
          <w:rFonts w:eastAsia="Calibri" w:cs="Arial"/>
          <w:szCs w:val="22"/>
          <w:lang w:val="en"/>
        </w:rPr>
        <w:t xml:space="preserve">, Minnesota’s population reached 5,629,416 in 2018, an increase of 6.1% since 2010. The Twin Cities Metropolitan area experienced a majority of this population increase; over half of the counties in out-state Minnesota experienced a decrease in population. </w:t>
      </w:r>
    </w:p>
    <w:p w:rsidR="00F7141A" w:rsidRPr="00A12320" w:rsidRDefault="00F7141A" w:rsidP="00F7141A">
      <w:pPr>
        <w:rPr>
          <w:rFonts w:eastAsia="Calibri"/>
          <w:szCs w:val="22"/>
        </w:rPr>
      </w:pPr>
      <w:r w:rsidRPr="00A12320">
        <w:rPr>
          <w:rFonts w:eastAsia="Calibri"/>
          <w:szCs w:val="22"/>
        </w:rPr>
        <w:t xml:space="preserve">In addition to human population, changes in livestock and poultry populations can affect manure generation. More livestock and poultry results in more manure, and depending on how it </w:t>
      </w:r>
      <w:proofErr w:type="gramStart"/>
      <w:r w:rsidRPr="00A12320">
        <w:rPr>
          <w:rFonts w:eastAsia="Calibri"/>
          <w:szCs w:val="22"/>
        </w:rPr>
        <w:t>is managed</w:t>
      </w:r>
      <w:proofErr w:type="gramEnd"/>
      <w:r w:rsidRPr="00A12320">
        <w:rPr>
          <w:rFonts w:eastAsia="Calibri"/>
          <w:szCs w:val="22"/>
        </w:rPr>
        <w:t>, has the potential to increase nutrient loads to rivers and lakes. Data from the USDA National Agricultural Statistics Service show slight shifts in livestock and poultry populations between 2012 and 2017</w:t>
      </w:r>
      <w:r w:rsidRPr="00A12320">
        <w:rPr>
          <w:rFonts w:eastAsia="Calibri"/>
          <w:szCs w:val="22"/>
          <w:vertAlign w:val="superscript"/>
        </w:rPr>
        <w:footnoteReference w:id="2"/>
      </w:r>
      <w:r w:rsidRPr="00A12320">
        <w:rPr>
          <w:rFonts w:eastAsia="Calibri"/>
          <w:szCs w:val="22"/>
        </w:rPr>
        <w:t xml:space="preserve">. Specific reported changes are as follows: </w:t>
      </w:r>
    </w:p>
    <w:p w:rsidR="00F7141A" w:rsidRPr="00A12320" w:rsidRDefault="00F7141A" w:rsidP="00F7141A">
      <w:pPr>
        <w:numPr>
          <w:ilvl w:val="0"/>
          <w:numId w:val="19"/>
        </w:numPr>
        <w:contextualSpacing/>
        <w:rPr>
          <w:rFonts w:eastAsia="Calibri"/>
          <w:szCs w:val="22"/>
        </w:rPr>
      </w:pPr>
      <w:r w:rsidRPr="00A12320">
        <w:rPr>
          <w:rFonts w:eastAsia="Calibri"/>
          <w:szCs w:val="22"/>
        </w:rPr>
        <w:t xml:space="preserve">Combined milk and beef cow/cattle inventories decreased by approximately 3% </w:t>
      </w:r>
    </w:p>
    <w:p w:rsidR="00F7141A" w:rsidRPr="00A12320" w:rsidRDefault="00F7141A" w:rsidP="00F7141A">
      <w:pPr>
        <w:numPr>
          <w:ilvl w:val="0"/>
          <w:numId w:val="19"/>
        </w:numPr>
        <w:contextualSpacing/>
        <w:rPr>
          <w:rFonts w:eastAsia="Calibri"/>
          <w:szCs w:val="22"/>
        </w:rPr>
      </w:pPr>
      <w:r w:rsidRPr="00A12320">
        <w:rPr>
          <w:rFonts w:eastAsia="Calibri"/>
          <w:szCs w:val="22"/>
        </w:rPr>
        <w:t>Hogs and pigs increased by 11%</w:t>
      </w:r>
    </w:p>
    <w:p w:rsidR="00F7141A" w:rsidRPr="00A12320" w:rsidRDefault="00F7141A" w:rsidP="00F7141A">
      <w:pPr>
        <w:numPr>
          <w:ilvl w:val="0"/>
          <w:numId w:val="19"/>
        </w:numPr>
        <w:spacing w:after="0"/>
        <w:contextualSpacing/>
        <w:rPr>
          <w:rFonts w:eastAsia="Calibri"/>
          <w:szCs w:val="22"/>
        </w:rPr>
      </w:pPr>
      <w:r w:rsidRPr="00A12320">
        <w:rPr>
          <w:rFonts w:eastAsia="Calibri"/>
          <w:szCs w:val="22"/>
        </w:rPr>
        <w:t xml:space="preserve">All poultry increased by approximately 5% </w:t>
      </w:r>
    </w:p>
    <w:p w:rsidR="00F7141A" w:rsidRPr="00A12320" w:rsidRDefault="00F7141A" w:rsidP="00F7141A">
      <w:pPr>
        <w:rPr>
          <w:rFonts w:eastAsia="Calibri" w:cs="Arial"/>
          <w:szCs w:val="22"/>
        </w:rPr>
      </w:pPr>
      <w:r w:rsidRPr="00A12320">
        <w:rPr>
          <w:rFonts w:eastAsia="Calibri" w:cs="Arial"/>
          <w:szCs w:val="22"/>
        </w:rPr>
        <w:t>Based on these changes, we expect that the overall total amount of manure generated at the state level increased slightly.</w:t>
      </w:r>
    </w:p>
    <w:p w:rsidR="00F7141A" w:rsidRPr="00A12320" w:rsidRDefault="00F7141A" w:rsidP="00F7141A">
      <w:pPr>
        <w:rPr>
          <w:rFonts w:ascii="Calibri Light" w:eastAsia="Yu Gothic Light" w:hAnsi="Calibri Light"/>
          <w:b/>
          <w:color w:val="2E74B5"/>
          <w:sz w:val="26"/>
          <w:szCs w:val="26"/>
        </w:rPr>
      </w:pPr>
      <w:r w:rsidRPr="00A12320">
        <w:rPr>
          <w:rFonts w:ascii="Calibri Light" w:eastAsia="Yu Gothic Light" w:hAnsi="Calibri Light"/>
          <w:b/>
          <w:color w:val="2E74B5"/>
          <w:sz w:val="26"/>
          <w:szCs w:val="26"/>
        </w:rPr>
        <w:t>Precipitation</w:t>
      </w:r>
    </w:p>
    <w:p w:rsidR="00F7141A" w:rsidRPr="00A12320" w:rsidRDefault="00F7141A" w:rsidP="00F7141A">
      <w:pPr>
        <w:rPr>
          <w:rFonts w:eastAsia="Calibri" w:cs="Arial"/>
          <w:szCs w:val="22"/>
        </w:rPr>
      </w:pPr>
      <w:r w:rsidRPr="00A12320">
        <w:rPr>
          <w:rFonts w:eastAsia="Calibri" w:cs="Arial"/>
          <w:szCs w:val="22"/>
        </w:rPr>
        <w:t xml:space="preserve">Precipitation patterns have significant influence on the delivery of nutrient loads to Minnesota’s water resources, as well as on strategies that Minnesotans will need to employ to achieve restoration and protection goals. The amount and timing of precipitation influences how much water soaks into the ground or runs off directly into lakes, rivers, and wetlands. </w:t>
      </w:r>
    </w:p>
    <w:p w:rsidR="00F7141A" w:rsidRPr="00A12320" w:rsidRDefault="00F7141A" w:rsidP="00F7141A">
      <w:pPr>
        <w:rPr>
          <w:rFonts w:eastAsia="Calibri"/>
          <w:szCs w:val="22"/>
        </w:rPr>
      </w:pPr>
      <w:r w:rsidRPr="00A12320">
        <w:rPr>
          <w:rFonts w:eastAsia="Calibri"/>
          <w:szCs w:val="22"/>
        </w:rPr>
        <w:t>Data show dramatic changes in annual precipitation across the state. Increases in annual pre</w:t>
      </w:r>
      <w:r>
        <w:rPr>
          <w:rFonts w:eastAsia="Calibri"/>
          <w:szCs w:val="22"/>
        </w:rPr>
        <w:t>cipitation have occurred since 2000 throughout most of the state</w:t>
      </w:r>
      <w:r w:rsidRPr="00A12320">
        <w:rPr>
          <w:rFonts w:eastAsia="Calibri"/>
          <w:szCs w:val="22"/>
        </w:rPr>
        <w:t>, with</w:t>
      </w:r>
      <w:r>
        <w:rPr>
          <w:rFonts w:eastAsia="Calibri"/>
          <w:szCs w:val="22"/>
        </w:rPr>
        <w:t xml:space="preserve"> </w:t>
      </w:r>
      <w:r w:rsidRPr="00A12320">
        <w:rPr>
          <w:rFonts w:eastAsia="Calibri"/>
          <w:szCs w:val="22"/>
        </w:rPr>
        <w:t xml:space="preserve">especially high rate of increase </w:t>
      </w:r>
      <w:r>
        <w:rPr>
          <w:rFonts w:eastAsia="Calibri"/>
          <w:szCs w:val="22"/>
        </w:rPr>
        <w:t xml:space="preserve">in southern </w:t>
      </w:r>
      <w:r>
        <w:rPr>
          <w:rFonts w:eastAsia="Calibri"/>
          <w:szCs w:val="22"/>
        </w:rPr>
        <w:lastRenderedPageBreak/>
        <w:t>Minnesota (see figure below).  S</w:t>
      </w:r>
      <w:r w:rsidRPr="00A12320">
        <w:rPr>
          <w:rFonts w:eastAsia="Calibri"/>
          <w:szCs w:val="22"/>
        </w:rPr>
        <w:t>outheastern Minnesota</w:t>
      </w:r>
      <w:r>
        <w:rPr>
          <w:rFonts w:eastAsia="Calibri"/>
          <w:szCs w:val="22"/>
        </w:rPr>
        <w:t xml:space="preserve"> precipitation is 5 to 6 inches higher during the past two decades as compared to the entire 20</w:t>
      </w:r>
      <w:r w:rsidRPr="008F7A42">
        <w:rPr>
          <w:rFonts w:eastAsia="Calibri"/>
          <w:szCs w:val="22"/>
          <w:vertAlign w:val="superscript"/>
        </w:rPr>
        <w:t>th</w:t>
      </w:r>
      <w:r>
        <w:rPr>
          <w:rFonts w:eastAsia="Calibri"/>
          <w:szCs w:val="22"/>
        </w:rPr>
        <w:t xml:space="preserve"> century </w:t>
      </w:r>
      <w:r w:rsidR="00162BCA">
        <w:rPr>
          <w:rFonts w:eastAsia="Calibri"/>
          <w:szCs w:val="22"/>
        </w:rPr>
        <w:t xml:space="preserve">average. </w:t>
      </w:r>
      <w:r>
        <w:rPr>
          <w:rFonts w:eastAsia="Calibri"/>
          <w:szCs w:val="22"/>
        </w:rPr>
        <w:t xml:space="preserve">Such </w:t>
      </w:r>
      <w:r>
        <w:rPr>
          <w:rFonts w:eastAsia="Calibri" w:cs="Arial"/>
          <w:szCs w:val="22"/>
        </w:rPr>
        <w:t>d</w:t>
      </w:r>
      <w:r w:rsidRPr="00A12320">
        <w:rPr>
          <w:rFonts w:eastAsia="Calibri" w:cs="Arial"/>
          <w:szCs w:val="22"/>
        </w:rPr>
        <w:t>ramatic</w:t>
      </w:r>
      <w:r w:rsidRPr="00A12320">
        <w:rPr>
          <w:rFonts w:eastAsia="Calibri"/>
          <w:szCs w:val="22"/>
        </w:rPr>
        <w:t xml:space="preserve"> precipitation </w:t>
      </w:r>
      <w:r>
        <w:rPr>
          <w:rFonts w:eastAsia="Calibri"/>
          <w:szCs w:val="22"/>
        </w:rPr>
        <w:t>increases</w:t>
      </w:r>
      <w:r w:rsidRPr="00A12320">
        <w:rPr>
          <w:rFonts w:eastAsia="Calibri"/>
          <w:szCs w:val="22"/>
        </w:rPr>
        <w:t xml:space="preserve"> can </w:t>
      </w:r>
      <w:r>
        <w:rPr>
          <w:rFonts w:eastAsia="Calibri"/>
          <w:szCs w:val="22"/>
        </w:rPr>
        <w:t xml:space="preserve">cause marked increases in </w:t>
      </w:r>
      <w:r w:rsidRPr="00A12320">
        <w:rPr>
          <w:rFonts w:eastAsia="Calibri"/>
          <w:szCs w:val="22"/>
        </w:rPr>
        <w:t xml:space="preserve">the delivery and concentration of nutrients in our waters. </w:t>
      </w:r>
    </w:p>
    <w:p w:rsidR="00F7141A" w:rsidRPr="00A12320" w:rsidRDefault="00F7141A" w:rsidP="00F7141A">
      <w:pPr>
        <w:keepNext/>
        <w:spacing w:after="0"/>
        <w:rPr>
          <w:rFonts w:eastAsia="Calibri"/>
          <w:b/>
          <w:iCs/>
          <w:szCs w:val="18"/>
        </w:rPr>
      </w:pPr>
      <w:r>
        <w:rPr>
          <w:rFonts w:eastAsia="Calibri"/>
          <w:noProof/>
          <w:szCs w:val="22"/>
        </w:rPr>
        <w:drawing>
          <wp:inline distT="0" distB="0" distL="0" distR="0" wp14:anchorId="41704D02" wp14:editId="0C471681">
            <wp:extent cx="5303520" cy="3703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NR_prcp_deviation_6_leve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3520" cy="3703397"/>
                    </a:xfrm>
                    <a:prstGeom prst="rect">
                      <a:avLst/>
                    </a:prstGeom>
                  </pic:spPr>
                </pic:pic>
              </a:graphicData>
            </a:graphic>
          </wp:inline>
        </w:drawing>
      </w:r>
    </w:p>
    <w:p w:rsidR="00F7141A" w:rsidRPr="008F7A42" w:rsidRDefault="00F7141A" w:rsidP="00162BCA">
      <w:pPr>
        <w:rPr>
          <w:rFonts w:asciiTheme="minorHAnsi" w:eastAsia="Calibri" w:hAnsiTheme="minorHAnsi"/>
          <w:szCs w:val="22"/>
        </w:rPr>
      </w:pPr>
      <w:r w:rsidRPr="00A12320">
        <w:rPr>
          <w:rFonts w:eastAsia="Calibri"/>
          <w:b/>
          <w:iCs/>
          <w:szCs w:val="18"/>
        </w:rPr>
        <w:t>Annual precipitation</w:t>
      </w:r>
      <w:r>
        <w:rPr>
          <w:rFonts w:eastAsia="Calibri"/>
          <w:b/>
          <w:iCs/>
          <w:szCs w:val="18"/>
        </w:rPr>
        <w:t xml:space="preserve"> increases between 20</w:t>
      </w:r>
      <w:r w:rsidRPr="004B03EA">
        <w:rPr>
          <w:rFonts w:eastAsia="Calibri"/>
          <w:b/>
          <w:iCs/>
          <w:szCs w:val="18"/>
          <w:vertAlign w:val="superscript"/>
        </w:rPr>
        <w:t>th</w:t>
      </w:r>
      <w:r>
        <w:rPr>
          <w:rFonts w:eastAsia="Calibri"/>
          <w:b/>
          <w:iCs/>
          <w:szCs w:val="18"/>
        </w:rPr>
        <w:t xml:space="preserve"> century averages and 2000-2019 averages in watersheds throughout Minnesota</w:t>
      </w:r>
      <w:r w:rsidRPr="00F7141A">
        <w:rPr>
          <w:rFonts w:eastAsia="Calibri"/>
          <w:b/>
          <w:iCs/>
          <w:szCs w:val="18"/>
        </w:rPr>
        <w:t xml:space="preserve"> </w:t>
      </w:r>
      <w:r w:rsidRPr="00F7141A">
        <w:rPr>
          <w:rFonts w:eastAsia="Calibri"/>
          <w:b/>
          <w:iCs/>
          <w:color w:val="0563C1"/>
          <w:szCs w:val="22"/>
        </w:rPr>
        <w:t>Source</w:t>
      </w:r>
      <w:r w:rsidRPr="00F7141A">
        <w:rPr>
          <w:rFonts w:eastAsia="Calibri"/>
          <w:iCs/>
          <w:color w:val="0563C1"/>
          <w:szCs w:val="22"/>
        </w:rPr>
        <w:t>:</w:t>
      </w:r>
      <w:r w:rsidRPr="00F7141A">
        <w:rPr>
          <w:rFonts w:eastAsia="Calibri"/>
          <w:b/>
          <w:iCs/>
          <w:color w:val="0563C1"/>
          <w:szCs w:val="22"/>
        </w:rPr>
        <w:t xml:space="preserve">  </w:t>
      </w:r>
      <w:r w:rsidRPr="008F7A42">
        <w:rPr>
          <w:rFonts w:asciiTheme="minorHAnsi" w:hAnsiTheme="minorHAnsi"/>
          <w:color w:val="1F497D"/>
          <w:szCs w:val="22"/>
        </w:rPr>
        <w:t>DNR State Climatology Office and the DNR Watershed Health Assessment Framework program</w:t>
      </w:r>
    </w:p>
    <w:p w:rsidR="00F7141A" w:rsidRPr="00A12320" w:rsidRDefault="00F7141A" w:rsidP="00F7141A">
      <w:pPr>
        <w:rPr>
          <w:rFonts w:eastAsia="Calibri"/>
          <w:szCs w:val="22"/>
        </w:rPr>
      </w:pPr>
      <w:r w:rsidRPr="00A12320">
        <w:rPr>
          <w:rFonts w:eastAsia="Calibri"/>
          <w:szCs w:val="22"/>
        </w:rPr>
        <w:t xml:space="preserve">In addition, large rain events that produce </w:t>
      </w:r>
      <w:r w:rsidRPr="00D24635">
        <w:rPr>
          <w:rFonts w:eastAsia="Calibri"/>
          <w:szCs w:val="22"/>
        </w:rPr>
        <w:t>six</w:t>
      </w:r>
      <w:r w:rsidRPr="00A12320">
        <w:rPr>
          <w:rFonts w:eastAsia="Calibri"/>
          <w:szCs w:val="22"/>
        </w:rPr>
        <w:t xml:space="preserve"> inches of rain across 1,000 or more square miles, often referred to as </w:t>
      </w:r>
      <w:r w:rsidRPr="00A12320">
        <w:rPr>
          <w:rFonts w:eastAsia="Calibri"/>
          <w:i/>
          <w:szCs w:val="22"/>
        </w:rPr>
        <w:t>mega rains</w:t>
      </w:r>
      <w:r w:rsidRPr="00A12320">
        <w:rPr>
          <w:rFonts w:eastAsia="Calibri"/>
          <w:szCs w:val="22"/>
        </w:rPr>
        <w:t>, have increased in frequency. There have been nearly three times as many mega rains in the last 18 years (2000-2017) than the previous 27 years (1973-1999). More information on Minnesota’s mega-rain events is available</w:t>
      </w:r>
      <w:r>
        <w:rPr>
          <w:rFonts w:eastAsia="Calibri"/>
          <w:szCs w:val="22"/>
        </w:rPr>
        <w:t xml:space="preserve"> </w:t>
      </w:r>
      <w:proofErr w:type="gramStart"/>
      <w:r>
        <w:rPr>
          <w:rFonts w:eastAsia="Calibri"/>
          <w:szCs w:val="22"/>
        </w:rPr>
        <w:t>at:</w:t>
      </w:r>
      <w:proofErr w:type="gramEnd"/>
      <w:r w:rsidRPr="00A12320">
        <w:rPr>
          <w:rFonts w:eastAsia="Calibri"/>
          <w:szCs w:val="22"/>
        </w:rPr>
        <w:t xml:space="preserve"> </w:t>
      </w:r>
      <w:hyperlink r:id="rId12" w:history="1">
        <w:r w:rsidRPr="00A12320">
          <w:rPr>
            <w:rFonts w:eastAsia="Calibri"/>
            <w:color w:val="0000FF"/>
            <w:szCs w:val="22"/>
            <w:u w:val="single"/>
          </w:rPr>
          <w:t>https://www.dnr.state.mn.us/climate/summaries_and_publications/mega_rain_events.html</w:t>
        </w:r>
      </w:hyperlink>
      <w:r w:rsidRPr="00A12320">
        <w:rPr>
          <w:rFonts w:eastAsia="Calibri"/>
          <w:szCs w:val="22"/>
        </w:rPr>
        <w:t xml:space="preserve">. </w:t>
      </w:r>
    </w:p>
    <w:p w:rsidR="00F7141A" w:rsidRPr="00A12320" w:rsidRDefault="00F7141A" w:rsidP="00162BCA">
      <w:pPr>
        <w:keepNext/>
        <w:keepLines/>
        <w:spacing w:after="80"/>
        <w:ind w:left="540" w:hanging="540"/>
        <w:outlineLvl w:val="1"/>
        <w:rPr>
          <w:rFonts w:ascii="Calibri Light" w:eastAsia="Yu Gothic Light" w:hAnsi="Calibri Light"/>
          <w:b/>
          <w:color w:val="2E74B5"/>
          <w:sz w:val="26"/>
          <w:szCs w:val="26"/>
        </w:rPr>
      </w:pPr>
      <w:bookmarkStart w:id="3" w:name="_Toc36734206"/>
      <w:r w:rsidRPr="00A12320">
        <w:rPr>
          <w:rFonts w:ascii="Calibri Light" w:eastAsia="Yu Gothic Light" w:hAnsi="Calibri Light"/>
          <w:b/>
          <w:color w:val="2E74B5"/>
          <w:sz w:val="26"/>
          <w:szCs w:val="26"/>
        </w:rPr>
        <w:t>River Flows</w:t>
      </w:r>
      <w:bookmarkEnd w:id="3"/>
      <w:r w:rsidRPr="00A12320">
        <w:rPr>
          <w:rFonts w:ascii="Calibri Light" w:eastAsia="Yu Gothic Light" w:hAnsi="Calibri Light"/>
          <w:b/>
          <w:color w:val="2E74B5"/>
          <w:sz w:val="26"/>
          <w:szCs w:val="26"/>
        </w:rPr>
        <w:t xml:space="preserve"> </w:t>
      </w:r>
    </w:p>
    <w:p w:rsidR="00F7141A" w:rsidRPr="00A12320" w:rsidRDefault="00F7141A" w:rsidP="00162BCA">
      <w:pPr>
        <w:spacing w:after="80"/>
        <w:rPr>
          <w:rFonts w:eastAsia="Calibri"/>
          <w:szCs w:val="22"/>
        </w:rPr>
      </w:pPr>
      <w:r w:rsidRPr="00A12320">
        <w:rPr>
          <w:rFonts w:eastAsia="Calibri"/>
          <w:szCs w:val="22"/>
        </w:rPr>
        <w:t>River flow is another key external factor influencing nutrient delivery to Minnesota’s rivers and lakes.</w:t>
      </w:r>
      <w:r>
        <w:rPr>
          <w:rFonts w:eastAsia="Calibri"/>
          <w:szCs w:val="22"/>
        </w:rPr>
        <w:t xml:space="preserve">  Changes in river flow </w:t>
      </w:r>
      <w:proofErr w:type="gramStart"/>
      <w:r>
        <w:rPr>
          <w:rFonts w:eastAsia="Calibri"/>
          <w:szCs w:val="22"/>
        </w:rPr>
        <w:t>are driven</w:t>
      </w:r>
      <w:proofErr w:type="gramEnd"/>
      <w:r>
        <w:rPr>
          <w:rFonts w:eastAsia="Calibri"/>
          <w:szCs w:val="22"/>
        </w:rPr>
        <w:t xml:space="preserve"> by changes in climate, but are also affected by altering hydrology, land uses, soil quality, and other factors.</w:t>
      </w:r>
      <w:r w:rsidRPr="00A12320">
        <w:rPr>
          <w:rFonts w:eastAsia="Calibri"/>
          <w:szCs w:val="22"/>
        </w:rPr>
        <w:t xml:space="preserve"> Increases in river flow can cause increased streambank and bluff </w:t>
      </w:r>
      <w:proofErr w:type="gramStart"/>
      <w:r w:rsidRPr="00A12320">
        <w:rPr>
          <w:rFonts w:eastAsia="Calibri"/>
          <w:szCs w:val="22"/>
        </w:rPr>
        <w:t>erosion</w:t>
      </w:r>
      <w:r>
        <w:rPr>
          <w:rFonts w:eastAsia="Calibri"/>
          <w:szCs w:val="22"/>
        </w:rPr>
        <w:t xml:space="preserve"> which</w:t>
      </w:r>
      <w:proofErr w:type="gramEnd"/>
      <w:r>
        <w:rPr>
          <w:rFonts w:eastAsia="Calibri"/>
          <w:szCs w:val="22"/>
        </w:rPr>
        <w:t xml:space="preserve"> constitutes the</w:t>
      </w:r>
      <w:r w:rsidR="00D24635">
        <w:rPr>
          <w:rFonts w:eastAsia="Calibri"/>
          <w:szCs w:val="22"/>
        </w:rPr>
        <w:t xml:space="preserve"> </w:t>
      </w:r>
      <w:r w:rsidRPr="00A12320">
        <w:rPr>
          <w:rFonts w:eastAsia="Calibri"/>
          <w:szCs w:val="22"/>
        </w:rPr>
        <w:t xml:space="preserve">largest source of sediment in </w:t>
      </w:r>
      <w:r>
        <w:rPr>
          <w:rFonts w:eastAsia="Calibri"/>
          <w:szCs w:val="22"/>
        </w:rPr>
        <w:t>many of our high sediment</w:t>
      </w:r>
      <w:r w:rsidRPr="00A12320">
        <w:rPr>
          <w:rFonts w:eastAsia="Calibri"/>
          <w:szCs w:val="22"/>
        </w:rPr>
        <w:t xml:space="preserve"> river</w:t>
      </w:r>
      <w:r>
        <w:rPr>
          <w:rFonts w:eastAsia="Calibri"/>
          <w:szCs w:val="22"/>
        </w:rPr>
        <w:t>s</w:t>
      </w:r>
      <w:r w:rsidRPr="00A12320">
        <w:rPr>
          <w:rFonts w:eastAsia="Calibri"/>
          <w:szCs w:val="22"/>
        </w:rPr>
        <w:t xml:space="preserve">. Since soil phosphorus </w:t>
      </w:r>
      <w:proofErr w:type="gramStart"/>
      <w:r w:rsidRPr="00A12320">
        <w:rPr>
          <w:rFonts w:eastAsia="Calibri"/>
          <w:szCs w:val="22"/>
        </w:rPr>
        <w:t>is attached</w:t>
      </w:r>
      <w:proofErr w:type="gramEnd"/>
      <w:r w:rsidRPr="00A12320">
        <w:rPr>
          <w:rFonts w:eastAsia="Calibri"/>
          <w:szCs w:val="22"/>
        </w:rPr>
        <w:t xml:space="preserve"> to the eroded sediment, flow increases can also result in total phosphorus increases. </w:t>
      </w:r>
    </w:p>
    <w:p w:rsidR="00F7141A" w:rsidRDefault="00F7141A" w:rsidP="00162BCA">
      <w:pPr>
        <w:spacing w:after="80"/>
        <w:rPr>
          <w:rFonts w:eastAsia="Calibri" w:cs="Arial"/>
          <w:szCs w:val="22"/>
        </w:rPr>
        <w:sectPr w:rsidR="00F7141A" w:rsidSect="00D24635">
          <w:footerReference w:type="default" r:id="rId13"/>
          <w:pgSz w:w="12240" w:h="15840"/>
          <w:pgMar w:top="1080" w:right="1440" w:bottom="1080" w:left="1440" w:header="720" w:footer="432" w:gutter="0"/>
          <w:pgNumType w:start="1"/>
          <w:cols w:space="720"/>
          <w:docGrid w:linePitch="360"/>
        </w:sectPr>
      </w:pPr>
      <w:r w:rsidRPr="00A12320">
        <w:rPr>
          <w:rFonts w:eastAsia="Calibri"/>
          <w:szCs w:val="22"/>
        </w:rPr>
        <w:t xml:space="preserve">During the past 20 years (1999 to 2018), data collected by the Metropolitan Council Environmental Services </w:t>
      </w:r>
      <w:proofErr w:type="gramStart"/>
      <w:r w:rsidRPr="00A12320">
        <w:rPr>
          <w:rFonts w:eastAsia="Calibri"/>
          <w:szCs w:val="22"/>
        </w:rPr>
        <w:t>show</w:t>
      </w:r>
      <w:proofErr w:type="gramEnd"/>
      <w:r w:rsidRPr="00A12320">
        <w:rPr>
          <w:rFonts w:eastAsia="Calibri"/>
          <w:szCs w:val="22"/>
        </w:rPr>
        <w:t xml:space="preserve"> that annual average streamflow in the Minnesota River has increased by 68% at the Jordan monitoring site and 75% near the river’s mouth at Fort Snelling. The recent decades are part of a long-term Minnesota River flow increase that started prior to </w:t>
      </w:r>
      <w:r w:rsidRPr="00A12320">
        <w:rPr>
          <w:rFonts w:eastAsia="Calibri" w:cs="Arial"/>
          <w:szCs w:val="22"/>
        </w:rPr>
        <w:t xml:space="preserve">1940 (see figure below). </w:t>
      </w:r>
    </w:p>
    <w:p w:rsidR="00F7141A" w:rsidRPr="00A12320" w:rsidRDefault="00F7141A" w:rsidP="00F7141A">
      <w:pPr>
        <w:rPr>
          <w:rFonts w:eastAsia="Calibri" w:cs="Calibri"/>
          <w:b/>
          <w:iCs/>
        </w:rPr>
      </w:pPr>
      <w:r w:rsidRPr="00A12320">
        <w:rPr>
          <w:rFonts w:eastAsia="Calibri" w:cs="Arial"/>
          <w:noProof/>
          <w:szCs w:val="22"/>
        </w:rPr>
        <w:lastRenderedPageBreak/>
        <w:drawing>
          <wp:anchor distT="0" distB="0" distL="114300" distR="114300" simplePos="0" relativeHeight="251685886" behindDoc="0" locked="0" layoutInCell="1" allowOverlap="1" wp14:anchorId="1E36FF00" wp14:editId="3EE155F4">
            <wp:simplePos x="0" y="0"/>
            <wp:positionH relativeFrom="column">
              <wp:posOffset>38100</wp:posOffset>
            </wp:positionH>
            <wp:positionV relativeFrom="paragraph">
              <wp:posOffset>0</wp:posOffset>
            </wp:positionV>
            <wp:extent cx="2929763" cy="2127250"/>
            <wp:effectExtent l="0" t="0" r="4445" b="6350"/>
            <wp:wrapTopAndBottom/>
            <wp:docPr id="9766765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4">
                      <a:extLst>
                        <a:ext uri="{28A0092B-C50C-407E-A947-70E740481C1C}">
                          <a14:useLocalDpi xmlns:a14="http://schemas.microsoft.com/office/drawing/2010/main" val="0"/>
                        </a:ext>
                      </a:extLst>
                    </a:blip>
                    <a:stretch>
                      <a:fillRect/>
                    </a:stretch>
                  </pic:blipFill>
                  <pic:spPr>
                    <a:xfrm>
                      <a:off x="0" y="0"/>
                      <a:ext cx="2929763" cy="2127250"/>
                    </a:xfrm>
                    <a:prstGeom prst="rect">
                      <a:avLst/>
                    </a:prstGeom>
                  </pic:spPr>
                </pic:pic>
              </a:graphicData>
            </a:graphic>
          </wp:anchor>
        </w:drawing>
      </w:r>
      <w:r w:rsidRPr="00A12320">
        <w:rPr>
          <w:rFonts w:eastAsia="Calibri"/>
          <w:b/>
          <w:iCs/>
          <w:szCs w:val="18"/>
        </w:rPr>
        <w:t>Average annual streamflow trends in the Minnesota River at Mankato (1940-2018).</w:t>
      </w:r>
    </w:p>
    <w:p w:rsidR="00F7141A" w:rsidRPr="00A12320" w:rsidRDefault="00F7141A" w:rsidP="00F7141A">
      <w:pPr>
        <w:rPr>
          <w:rFonts w:eastAsia="Calibri"/>
          <w:szCs w:val="22"/>
        </w:rPr>
      </w:pPr>
      <w:r w:rsidRPr="00A12320">
        <w:rPr>
          <w:rFonts w:eastAsia="Calibri"/>
          <w:szCs w:val="22"/>
        </w:rPr>
        <w:t>The Mississippi River flows have also increased during the 1999 to 2018 timeframe. Minimum flows at Anoka increased by 64%. Average and maximum flows at Red Wing have increased by 40% and 38%, respectively. It is challenging to achieve nonpoint source nutrient load decreases during periods of such significant river flow increases.</w:t>
      </w:r>
    </w:p>
    <w:p w:rsidR="00F7141A" w:rsidRPr="00A12320" w:rsidRDefault="00F7141A" w:rsidP="00F7141A">
      <w:pPr>
        <w:keepNext/>
        <w:keepLines/>
        <w:spacing w:before="40"/>
        <w:ind w:left="540" w:hanging="540"/>
        <w:outlineLvl w:val="1"/>
        <w:rPr>
          <w:rFonts w:ascii="Calibri Light" w:eastAsia="Yu Gothic Light" w:hAnsi="Calibri Light"/>
          <w:b/>
          <w:color w:val="2E74B5"/>
          <w:sz w:val="26"/>
          <w:szCs w:val="26"/>
        </w:rPr>
      </w:pPr>
      <w:bookmarkStart w:id="4" w:name="_Toc36734207"/>
      <w:r w:rsidRPr="00A12320">
        <w:rPr>
          <w:rFonts w:ascii="Calibri Light" w:eastAsia="Yu Gothic Light" w:hAnsi="Calibri Light"/>
          <w:b/>
          <w:color w:val="2E74B5"/>
          <w:sz w:val="26"/>
          <w:szCs w:val="26"/>
        </w:rPr>
        <w:t>Land-use</w:t>
      </w:r>
      <w:bookmarkEnd w:id="4"/>
      <w:r w:rsidRPr="00A12320">
        <w:rPr>
          <w:rFonts w:ascii="Calibri Light" w:eastAsia="Yu Gothic Light" w:hAnsi="Calibri Light"/>
          <w:b/>
          <w:color w:val="2E74B5"/>
          <w:sz w:val="26"/>
          <w:szCs w:val="26"/>
        </w:rPr>
        <w:t xml:space="preserve"> </w:t>
      </w:r>
    </w:p>
    <w:p w:rsidR="00F7141A" w:rsidRPr="00A12320" w:rsidRDefault="00F7141A" w:rsidP="00F7141A">
      <w:pPr>
        <w:rPr>
          <w:rFonts w:eastAsia="Calibri"/>
          <w:b/>
          <w:bCs/>
          <w:szCs w:val="22"/>
        </w:rPr>
      </w:pPr>
      <w:r w:rsidRPr="00A12320">
        <w:rPr>
          <w:rFonts w:eastAsia="Calibri"/>
          <w:szCs w:val="22"/>
        </w:rPr>
        <w:t xml:space="preserve">Changes in </w:t>
      </w:r>
      <w:r w:rsidR="00D24635" w:rsidRPr="00A12320">
        <w:rPr>
          <w:rFonts w:eastAsia="Calibri"/>
          <w:szCs w:val="22"/>
        </w:rPr>
        <w:t>and</w:t>
      </w:r>
      <w:r w:rsidRPr="00A12320">
        <w:rPr>
          <w:rFonts w:eastAsia="Calibri"/>
          <w:szCs w:val="22"/>
        </w:rPr>
        <w:t xml:space="preserve"> wetland acreages</w:t>
      </w:r>
      <w:r w:rsidRPr="00A12320">
        <w:rPr>
          <w:rFonts w:eastAsia="Calibri"/>
          <w:b/>
          <w:szCs w:val="22"/>
        </w:rPr>
        <w:t xml:space="preserve"> </w:t>
      </w:r>
      <w:r w:rsidRPr="00A12320">
        <w:rPr>
          <w:rFonts w:eastAsia="Calibri"/>
          <w:szCs w:val="22"/>
        </w:rPr>
        <w:t xml:space="preserve">affect how much precipitation reaches lakes, rivers, and wetlands, or percolates into aquifers. Land use also has a major influence on the quantity and quality of runoff and nutrient losses to groundwater. A summary of major land use changes in Minnesota </w:t>
      </w:r>
      <w:proofErr w:type="gramStart"/>
      <w:r w:rsidRPr="00A12320">
        <w:rPr>
          <w:rFonts w:eastAsia="Calibri"/>
          <w:szCs w:val="22"/>
        </w:rPr>
        <w:t>is presented</w:t>
      </w:r>
      <w:proofErr w:type="gramEnd"/>
      <w:r w:rsidRPr="00A12320">
        <w:rPr>
          <w:rFonts w:eastAsia="Calibri"/>
          <w:szCs w:val="22"/>
        </w:rPr>
        <w:t xml:space="preserve"> below. </w:t>
      </w:r>
    </w:p>
    <w:p w:rsidR="00F7141A" w:rsidRPr="00A12320" w:rsidRDefault="00F7141A" w:rsidP="00F7141A">
      <w:pPr>
        <w:rPr>
          <w:rFonts w:eastAsia="Calibri" w:cs="Arial"/>
          <w:b/>
          <w:bCs/>
          <w:i/>
          <w:iCs/>
          <w:szCs w:val="22"/>
        </w:rPr>
      </w:pPr>
      <w:r w:rsidRPr="00A12320">
        <w:rPr>
          <w:rFonts w:eastAsia="Calibri" w:cs="Arial"/>
          <w:b/>
          <w:bCs/>
          <w:i/>
          <w:iCs/>
          <w:szCs w:val="22"/>
        </w:rPr>
        <w:t xml:space="preserve">Urban </w:t>
      </w:r>
    </w:p>
    <w:p w:rsidR="00F7141A" w:rsidRPr="00A12320" w:rsidRDefault="00F7141A" w:rsidP="00F7141A">
      <w:pPr>
        <w:rPr>
          <w:rFonts w:eastAsia="Calibri"/>
          <w:szCs w:val="22"/>
        </w:rPr>
      </w:pPr>
      <w:r w:rsidRPr="00A12320">
        <w:rPr>
          <w:rFonts w:eastAsia="Calibri"/>
          <w:noProof/>
          <w:szCs w:val="22"/>
        </w:rPr>
        <w:t>Developed lands, often characterized by an increase in impervious surfaces, increased by 14.3% from 2010 to 2017</w:t>
      </w:r>
      <w:r w:rsidRPr="00A12320">
        <w:rPr>
          <w:rFonts w:eastAsia="Calibri"/>
          <w:noProof/>
          <w:szCs w:val="22"/>
          <w:vertAlign w:val="superscript"/>
        </w:rPr>
        <w:footnoteReference w:id="3"/>
      </w:r>
      <w:r w:rsidRPr="00A12320">
        <w:rPr>
          <w:rFonts w:eastAsia="Calibri"/>
          <w:noProof/>
          <w:szCs w:val="22"/>
        </w:rPr>
        <w:t>.</w:t>
      </w:r>
      <w:r>
        <w:rPr>
          <w:rFonts w:eastAsia="Calibri"/>
          <w:noProof/>
          <w:szCs w:val="22"/>
        </w:rPr>
        <w:t xml:space="preserve">  </w:t>
      </w:r>
      <w:r w:rsidRPr="00A12320">
        <w:rPr>
          <w:rFonts w:eastAsia="Calibri"/>
          <w:szCs w:val="22"/>
        </w:rPr>
        <w:t xml:space="preserve">As </w:t>
      </w:r>
      <w:r>
        <w:rPr>
          <w:rFonts w:eastAsia="Calibri"/>
          <w:szCs w:val="22"/>
        </w:rPr>
        <w:t xml:space="preserve">previously </w:t>
      </w:r>
      <w:r w:rsidRPr="00A12320">
        <w:rPr>
          <w:rFonts w:eastAsia="Calibri"/>
          <w:szCs w:val="22"/>
        </w:rPr>
        <w:t>discussed, increases in impervious surfaces contribute to increases in nutrient loads from surface runoff.</w:t>
      </w:r>
    </w:p>
    <w:p w:rsidR="00F7141A" w:rsidRPr="00A12320" w:rsidRDefault="00F7141A" w:rsidP="00F7141A">
      <w:pPr>
        <w:rPr>
          <w:rFonts w:eastAsia="Calibri" w:cs="Arial"/>
          <w:b/>
          <w:bCs/>
          <w:i/>
          <w:iCs/>
          <w:szCs w:val="22"/>
        </w:rPr>
      </w:pPr>
      <w:r w:rsidRPr="00A12320">
        <w:rPr>
          <w:rFonts w:eastAsia="Calibri" w:cs="Arial"/>
          <w:b/>
          <w:bCs/>
          <w:i/>
          <w:iCs/>
          <w:szCs w:val="22"/>
        </w:rPr>
        <w:t>Cropland</w:t>
      </w:r>
    </w:p>
    <w:p w:rsidR="00F7141A" w:rsidRDefault="00F7141A" w:rsidP="00F7141A">
      <w:pPr>
        <w:rPr>
          <w:rFonts w:eastAsia="Calibri" w:cs="Arial"/>
          <w:szCs w:val="22"/>
        </w:rPr>
        <w:sectPr w:rsidR="00F7141A" w:rsidSect="00D24635">
          <w:footerReference w:type="default" r:id="rId15"/>
          <w:pgSz w:w="12240" w:h="15840"/>
          <w:pgMar w:top="1080" w:right="1440" w:bottom="1080" w:left="1440" w:header="432" w:footer="432" w:gutter="0"/>
          <w:cols w:space="720"/>
          <w:docGrid w:linePitch="360"/>
        </w:sectPr>
      </w:pPr>
      <w:r w:rsidRPr="00A12320">
        <w:rPr>
          <w:rFonts w:eastAsia="Calibri" w:cs="Arial"/>
          <w:szCs w:val="22"/>
        </w:rPr>
        <w:t>Total acres of agricultur</w:t>
      </w:r>
      <w:r>
        <w:rPr>
          <w:rFonts w:eastAsia="Calibri" w:cs="Arial"/>
          <w:szCs w:val="22"/>
        </w:rPr>
        <w:t>al</w:t>
      </w:r>
      <w:r w:rsidRPr="00A12320">
        <w:rPr>
          <w:rFonts w:eastAsia="Calibri" w:cs="Arial"/>
          <w:szCs w:val="22"/>
        </w:rPr>
        <w:t xml:space="preserve"> land use in Minnesota has remained relatively constant over time. However, the type of crops has changed in past decades to fewer</w:t>
      </w:r>
      <w:r w:rsidRPr="00A12320" w:rsidDel="00FC0209">
        <w:rPr>
          <w:rFonts w:eastAsia="Calibri" w:cs="Arial"/>
          <w:szCs w:val="22"/>
        </w:rPr>
        <w:t xml:space="preserve"> </w:t>
      </w:r>
      <w:r w:rsidRPr="00A12320">
        <w:rPr>
          <w:rFonts w:eastAsia="Calibri" w:cs="Arial"/>
          <w:szCs w:val="22"/>
        </w:rPr>
        <w:t xml:space="preserve">small grains and alfalfa acres and more corn and soybeans. Between 2012 and 2018, most of the major crop acreages remained </w:t>
      </w:r>
      <w:proofErr w:type="gramStart"/>
      <w:r w:rsidRPr="00A12320">
        <w:rPr>
          <w:rFonts w:eastAsia="Calibri" w:cs="Arial"/>
          <w:szCs w:val="22"/>
        </w:rPr>
        <w:t>fairly stable</w:t>
      </w:r>
      <w:proofErr w:type="gramEnd"/>
      <w:r w:rsidRPr="00A12320">
        <w:rPr>
          <w:rFonts w:eastAsia="Calibri" w:cs="Arial"/>
          <w:szCs w:val="22"/>
        </w:rPr>
        <w:t>. Soybean acreages surpassed corn in 2017 and 2018 (see figure below).</w:t>
      </w:r>
    </w:p>
    <w:p w:rsidR="00F7141A" w:rsidRPr="00A12320" w:rsidRDefault="00F7141A" w:rsidP="00F7141A">
      <w:pPr>
        <w:spacing w:before="120"/>
        <w:rPr>
          <w:rFonts w:eastAsia="Calibri"/>
          <w:b/>
          <w:iCs/>
          <w:szCs w:val="18"/>
        </w:rPr>
      </w:pPr>
      <w:r>
        <w:rPr>
          <w:rFonts w:eastAsia="Calibri" w:cs="Arial"/>
          <w:noProof/>
          <w:szCs w:val="22"/>
        </w:rPr>
        <w:lastRenderedPageBreak/>
        <w:drawing>
          <wp:anchor distT="0" distB="0" distL="114300" distR="114300" simplePos="0" relativeHeight="251686910" behindDoc="0" locked="0" layoutInCell="1" allowOverlap="1" wp14:anchorId="65AB38E5" wp14:editId="74B29F6D">
            <wp:simplePos x="0" y="0"/>
            <wp:positionH relativeFrom="margin">
              <wp:align>left</wp:align>
            </wp:positionH>
            <wp:positionV relativeFrom="paragraph">
              <wp:posOffset>58420</wp:posOffset>
            </wp:positionV>
            <wp:extent cx="4389120" cy="26383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2638335"/>
                    </a:xfrm>
                    <a:prstGeom prst="rect">
                      <a:avLst/>
                    </a:prstGeom>
                    <a:noFill/>
                  </pic:spPr>
                </pic:pic>
              </a:graphicData>
            </a:graphic>
            <wp14:sizeRelH relativeFrom="page">
              <wp14:pctWidth>0</wp14:pctWidth>
            </wp14:sizeRelH>
            <wp14:sizeRelV relativeFrom="page">
              <wp14:pctHeight>0</wp14:pctHeight>
            </wp14:sizeRelV>
          </wp:anchor>
        </w:drawing>
      </w:r>
      <w:r w:rsidRPr="00A12320">
        <w:rPr>
          <w:rFonts w:eastAsia="Calibri"/>
          <w:b/>
          <w:iCs/>
          <w:szCs w:val="18"/>
        </w:rPr>
        <w:t>Statewide crop and grass/pasture acreage changes between 2012 and 2018 as identified from Crop Data Layer (CDL).</w:t>
      </w:r>
    </w:p>
    <w:p w:rsidR="00F7141A" w:rsidRPr="00E6247D" w:rsidRDefault="00F7141A" w:rsidP="00F7141A">
      <w:pPr>
        <w:rPr>
          <w:rFonts w:eastAsia="Calibri"/>
          <w:b/>
          <w:i/>
          <w:szCs w:val="22"/>
        </w:rPr>
      </w:pPr>
      <w:r w:rsidRPr="00E6247D">
        <w:rPr>
          <w:rFonts w:eastAsia="Calibri"/>
          <w:b/>
          <w:i/>
          <w:szCs w:val="22"/>
        </w:rPr>
        <w:t>Wetlands</w:t>
      </w:r>
    </w:p>
    <w:p w:rsidR="00F7141A" w:rsidRPr="00E6247D" w:rsidRDefault="00F7141A" w:rsidP="00F7141A">
      <w:pPr>
        <w:rPr>
          <w:rFonts w:eastAsia="Calibri"/>
          <w:szCs w:val="22"/>
        </w:rPr>
      </w:pPr>
      <w:r w:rsidRPr="00E6247D">
        <w:rPr>
          <w:rFonts w:eastAsia="Calibri"/>
          <w:szCs w:val="22"/>
        </w:rPr>
        <w:t xml:space="preserve">In 1991, Minnesota adopted a no-net-loss wetland policy </w:t>
      </w:r>
      <w:r w:rsidRPr="00E6247D">
        <w:rPr>
          <w:rFonts w:eastAsia="Calibri" w:cs="Arial"/>
          <w:szCs w:val="22"/>
        </w:rPr>
        <w:t>b</w:t>
      </w:r>
      <w:r w:rsidRPr="00E6247D">
        <w:rPr>
          <w:rFonts w:eastAsia="Calibri"/>
          <w:szCs w:val="22"/>
        </w:rPr>
        <w:t xml:space="preserve">ecause of the benefits associated with wetlands. Then in 2006, Minnesota initiated a rigorous, long-term monitoring program to track changes in wetland quality and quantity over time. Between 2006 and 2008, the monitoring effort assessed wetland abundance in almost 5,000 plots across Minnesota to serve as a baseline. Those same sites </w:t>
      </w:r>
      <w:proofErr w:type="gramStart"/>
      <w:r w:rsidRPr="00E6247D">
        <w:rPr>
          <w:rFonts w:eastAsia="Calibri"/>
          <w:szCs w:val="22"/>
        </w:rPr>
        <w:t>are reassessed</w:t>
      </w:r>
      <w:proofErr w:type="gramEnd"/>
      <w:r w:rsidRPr="00E6247D">
        <w:rPr>
          <w:rFonts w:eastAsia="Calibri"/>
          <w:szCs w:val="22"/>
        </w:rPr>
        <w:t xml:space="preserve"> every three years to track the amount of change that is occurring. Results showed a net wetland gain of 6,550 acres (0.06%) from 2009 to 2014. While historical patterns of wetland loss appear to have </w:t>
      </w:r>
      <w:proofErr w:type="gramStart"/>
      <w:r w:rsidRPr="00E6247D">
        <w:rPr>
          <w:rFonts w:eastAsia="Calibri"/>
          <w:szCs w:val="22"/>
        </w:rPr>
        <w:t>leveled</w:t>
      </w:r>
      <w:proofErr w:type="gramEnd"/>
      <w:r w:rsidRPr="00E6247D">
        <w:rPr>
          <w:rFonts w:eastAsia="Calibri"/>
          <w:szCs w:val="22"/>
        </w:rPr>
        <w:t xml:space="preserve"> off, more recent efforts have focused on restoring and maintaining wetland functional quality. </w:t>
      </w:r>
    </w:p>
    <w:p w:rsidR="00F7141A" w:rsidRPr="00E6247D" w:rsidRDefault="00F7141A" w:rsidP="00F7141A">
      <w:pPr>
        <w:rPr>
          <w:rFonts w:eastAsia="Calibri"/>
          <w:b/>
          <w:bCs/>
          <w:i/>
          <w:iCs/>
          <w:szCs w:val="22"/>
        </w:rPr>
      </w:pPr>
      <w:r w:rsidRPr="00E6247D">
        <w:rPr>
          <w:rFonts w:eastAsia="Calibri"/>
          <w:b/>
          <w:bCs/>
          <w:i/>
          <w:iCs/>
          <w:szCs w:val="22"/>
        </w:rPr>
        <w:t xml:space="preserve">Irrigation and Drainage </w:t>
      </w:r>
    </w:p>
    <w:p w:rsidR="00F7141A" w:rsidRPr="00E6247D" w:rsidRDefault="00F7141A" w:rsidP="00F7141A">
      <w:pPr>
        <w:rPr>
          <w:rFonts w:eastAsia="Calibri"/>
          <w:szCs w:val="22"/>
        </w:rPr>
      </w:pPr>
      <w:r w:rsidRPr="00E6247D">
        <w:rPr>
          <w:rFonts w:eastAsia="Calibri"/>
          <w:szCs w:val="22"/>
        </w:rPr>
        <w:t xml:space="preserve">Cropland irrigation and </w:t>
      </w:r>
      <w:r w:rsidRPr="00E6247D">
        <w:rPr>
          <w:rFonts w:eastAsia="Calibri"/>
          <w:color w:val="000000"/>
          <w:szCs w:val="22"/>
        </w:rPr>
        <w:t xml:space="preserve">artificial drainage changes </w:t>
      </w:r>
      <w:r>
        <w:rPr>
          <w:rFonts w:eastAsia="Calibri"/>
          <w:color w:val="000000"/>
          <w:szCs w:val="22"/>
        </w:rPr>
        <w:t xml:space="preserve">how </w:t>
      </w:r>
      <w:r w:rsidRPr="00E6247D">
        <w:rPr>
          <w:rFonts w:eastAsia="Calibri"/>
          <w:color w:val="000000"/>
          <w:szCs w:val="22"/>
        </w:rPr>
        <w:t>water and nutrients move through the soil and into surface waters. These activities can affect the amount of nitrate and phosphorus delivered to waters.</w:t>
      </w:r>
    </w:p>
    <w:p w:rsidR="00F7141A" w:rsidRPr="00E6247D" w:rsidRDefault="00F7141A" w:rsidP="00F7141A">
      <w:pPr>
        <w:rPr>
          <w:rFonts w:eastAsia="Calibri"/>
          <w:szCs w:val="22"/>
        </w:rPr>
      </w:pPr>
      <w:r w:rsidRPr="00E6247D">
        <w:rPr>
          <w:rFonts w:eastAsia="Calibri"/>
          <w:szCs w:val="22"/>
        </w:rPr>
        <w:t xml:space="preserve">Less than 3% of the total cropland in Minnesota </w:t>
      </w:r>
      <w:proofErr w:type="gramStart"/>
      <w:r w:rsidRPr="00E6247D">
        <w:rPr>
          <w:rFonts w:eastAsia="Calibri"/>
          <w:szCs w:val="22"/>
        </w:rPr>
        <w:t>is currently irrigated</w:t>
      </w:r>
      <w:proofErr w:type="gramEnd"/>
      <w:r w:rsidRPr="00E6247D">
        <w:rPr>
          <w:rFonts w:eastAsia="Calibri"/>
          <w:szCs w:val="22"/>
        </w:rPr>
        <w:t>, using approximately 103 billion gallons of water. There has been a slight increase in irrigation in Minnesota according to the U.S. Census of Agriculture. Acres of irrigated land increased by 21% during 2007-2017 and by 17% from 2012 to 2017.</w:t>
      </w:r>
    </w:p>
    <w:p w:rsidR="00F7141A" w:rsidRDefault="00F7141A" w:rsidP="00F7141A">
      <w:pPr>
        <w:rPr>
          <w:rFonts w:eastAsia="Calibri" w:cs="Arial"/>
          <w:szCs w:val="22"/>
        </w:rPr>
      </w:pPr>
      <w:r w:rsidRPr="00E6247D">
        <w:rPr>
          <w:rFonts w:eastAsia="Calibri"/>
          <w:szCs w:val="22"/>
        </w:rPr>
        <w:t xml:space="preserve">While the statewide increase in irrigated agriculture is relatively small, increases can have large impacts in local watersheds. For example, the amount of irrigated lands within the Straight River watershed, which drains to the Crow Wing River in north central Minnesota, nearly doubled </w:t>
      </w:r>
      <w:proofErr w:type="gramStart"/>
      <w:r w:rsidRPr="00E6247D">
        <w:rPr>
          <w:rFonts w:eastAsia="Calibri"/>
          <w:szCs w:val="22"/>
        </w:rPr>
        <w:t>between 1992 to 2016</w:t>
      </w:r>
      <w:proofErr w:type="gramEnd"/>
      <w:r w:rsidRPr="00E6247D">
        <w:rPr>
          <w:rFonts w:eastAsia="Calibri" w:cs="Arial"/>
          <w:szCs w:val="22"/>
        </w:rPr>
        <w:t>.</w:t>
      </w:r>
    </w:p>
    <w:p w:rsidR="00F7141A" w:rsidRDefault="00F7141A" w:rsidP="00F7141A">
      <w:pPr>
        <w:spacing w:after="0"/>
        <w:rPr>
          <w:rFonts w:eastAsia="Calibri" w:cs="Arial"/>
          <w:szCs w:val="22"/>
        </w:rPr>
      </w:pPr>
      <w:r w:rsidRPr="00E6247D">
        <w:rPr>
          <w:rFonts w:eastAsia="Calibri" w:cs="Arial"/>
          <w:szCs w:val="22"/>
        </w:rPr>
        <w:t>Grassland</w:t>
      </w:r>
      <w:r w:rsidRPr="00E6247D">
        <w:rPr>
          <w:rFonts w:eastAsia="Calibri"/>
          <w:szCs w:val="22"/>
        </w:rPr>
        <w:t xml:space="preserve"> and forested areas with very low nitrate leaching potential </w:t>
      </w:r>
      <w:proofErr w:type="gramStart"/>
      <w:r w:rsidRPr="00E6247D">
        <w:rPr>
          <w:rFonts w:eastAsia="Calibri"/>
          <w:szCs w:val="22"/>
        </w:rPr>
        <w:t>were converted</w:t>
      </w:r>
      <w:proofErr w:type="gramEnd"/>
      <w:r w:rsidRPr="00E6247D">
        <w:rPr>
          <w:rFonts w:eastAsia="Calibri"/>
          <w:szCs w:val="22"/>
        </w:rPr>
        <w:t xml:space="preserve"> into irrigated row</w:t>
      </w:r>
    </w:p>
    <w:p w:rsidR="00F7141A" w:rsidRDefault="00F7141A" w:rsidP="00F7141A">
      <w:pPr>
        <w:contextualSpacing/>
        <w:rPr>
          <w:rFonts w:eastAsia="Calibri" w:cs="Arial"/>
          <w:szCs w:val="22"/>
        </w:rPr>
      </w:pPr>
      <w:proofErr w:type="gramStart"/>
      <w:r w:rsidRPr="00E6247D">
        <w:rPr>
          <w:rFonts w:eastAsia="Calibri"/>
          <w:szCs w:val="22"/>
        </w:rPr>
        <w:t>crops</w:t>
      </w:r>
      <w:proofErr w:type="gramEnd"/>
      <w:r w:rsidRPr="00E6247D">
        <w:rPr>
          <w:rFonts w:eastAsia="Calibri"/>
          <w:szCs w:val="22"/>
        </w:rPr>
        <w:t xml:space="preserve"> with much higher potential for nitrate leaching.</w:t>
      </w:r>
    </w:p>
    <w:p w:rsidR="00F7141A" w:rsidRDefault="00F7141A" w:rsidP="00F7141A">
      <w:pPr>
        <w:contextualSpacing/>
        <w:rPr>
          <w:rFonts w:eastAsia="Calibri" w:cs="Arial"/>
          <w:szCs w:val="22"/>
        </w:rPr>
      </w:pPr>
    </w:p>
    <w:p w:rsidR="00F7141A" w:rsidRDefault="00F7141A" w:rsidP="00F7141A">
      <w:pPr>
        <w:contextualSpacing/>
        <w:rPr>
          <w:rFonts w:eastAsia="Calibri" w:cs="Arial"/>
          <w:szCs w:val="22"/>
        </w:rPr>
        <w:sectPr w:rsidR="00F7141A" w:rsidSect="00D24635">
          <w:footerReference w:type="default" r:id="rId17"/>
          <w:pgSz w:w="12240" w:h="15840"/>
          <w:pgMar w:top="1080" w:right="1440" w:bottom="1080" w:left="1440" w:header="720" w:footer="432" w:gutter="0"/>
          <w:cols w:space="720"/>
          <w:docGrid w:linePitch="360"/>
        </w:sectPr>
      </w:pPr>
    </w:p>
    <w:p w:rsidR="00F7141A" w:rsidRDefault="007678E0" w:rsidP="00162BCA">
      <w:pPr>
        <w:spacing w:before="240"/>
        <w:rPr>
          <w:rFonts w:eastAsia="Calibri"/>
          <w:szCs w:val="22"/>
        </w:rPr>
      </w:pPr>
      <w:r>
        <w:rPr>
          <w:rFonts w:eastAsia="Calibri" w:cs="Arial"/>
          <w:noProof/>
          <w:szCs w:val="22"/>
        </w:rPr>
        <w:lastRenderedPageBreak/>
        <w:drawing>
          <wp:anchor distT="0" distB="0" distL="114300" distR="114300" simplePos="0" relativeHeight="251687934" behindDoc="0" locked="0" layoutInCell="1" allowOverlap="1" wp14:anchorId="559DA779" wp14:editId="1C2EC2F9">
            <wp:simplePos x="0" y="0"/>
            <wp:positionH relativeFrom="margin">
              <wp:posOffset>-9525</wp:posOffset>
            </wp:positionH>
            <wp:positionV relativeFrom="paragraph">
              <wp:posOffset>0</wp:posOffset>
            </wp:positionV>
            <wp:extent cx="3956685" cy="3152140"/>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6685" cy="3152140"/>
                    </a:xfrm>
                    <a:prstGeom prst="rect">
                      <a:avLst/>
                    </a:prstGeom>
                    <a:noFill/>
                  </pic:spPr>
                </pic:pic>
              </a:graphicData>
            </a:graphic>
            <wp14:sizeRelH relativeFrom="page">
              <wp14:pctWidth>0</wp14:pctWidth>
            </wp14:sizeRelH>
            <wp14:sizeRelV relativeFrom="page">
              <wp14:pctHeight>0</wp14:pctHeight>
            </wp14:sizeRelV>
          </wp:anchor>
        </w:drawing>
      </w:r>
      <w:r w:rsidR="00F7141A">
        <w:rPr>
          <w:rFonts w:eastAsia="Calibri" w:cs="Arial"/>
          <w:noProof/>
          <w:szCs w:val="22"/>
        </w:rPr>
        <w:drawing>
          <wp:anchor distT="0" distB="0" distL="114300" distR="114300" simplePos="0" relativeHeight="251688958" behindDoc="0" locked="0" layoutInCell="1" allowOverlap="1" wp14:anchorId="039B0A91" wp14:editId="6DF11ACA">
            <wp:simplePos x="0" y="0"/>
            <wp:positionH relativeFrom="margin">
              <wp:align>left</wp:align>
            </wp:positionH>
            <wp:positionV relativeFrom="paragraph">
              <wp:posOffset>3615690</wp:posOffset>
            </wp:positionV>
            <wp:extent cx="2212975" cy="1274445"/>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2975" cy="1274445"/>
                    </a:xfrm>
                    <a:prstGeom prst="rect">
                      <a:avLst/>
                    </a:prstGeom>
                    <a:noFill/>
                  </pic:spPr>
                </pic:pic>
              </a:graphicData>
            </a:graphic>
            <wp14:sizeRelH relativeFrom="page">
              <wp14:pctWidth>0</wp14:pctWidth>
            </wp14:sizeRelH>
            <wp14:sizeRelV relativeFrom="page">
              <wp14:pctHeight>0</wp14:pctHeight>
            </wp14:sizeRelV>
          </wp:anchor>
        </w:drawing>
      </w:r>
      <w:r w:rsidR="00F7141A" w:rsidRPr="00E6247D">
        <w:rPr>
          <w:rFonts w:eastAsia="Calibri"/>
          <w:b/>
          <w:iCs/>
          <w:szCs w:val="18"/>
        </w:rPr>
        <w:t>Added irrigation between 1992 and 2016 in the Straight River Watershed, a</w:t>
      </w:r>
      <w:r w:rsidR="00F7141A">
        <w:rPr>
          <w:rFonts w:eastAsia="Calibri"/>
          <w:b/>
          <w:iCs/>
          <w:szCs w:val="18"/>
        </w:rPr>
        <w:t>nd</w:t>
      </w:r>
      <w:r w:rsidR="00F7141A" w:rsidRPr="00E6247D">
        <w:rPr>
          <w:rFonts w:eastAsia="Calibri"/>
          <w:b/>
          <w:iCs/>
          <w:szCs w:val="18"/>
        </w:rPr>
        <w:t xml:space="preserve"> </w:t>
      </w:r>
      <w:proofErr w:type="spellStart"/>
      <w:r w:rsidR="00F7141A" w:rsidRPr="00E6247D">
        <w:rPr>
          <w:rFonts w:eastAsia="Calibri"/>
          <w:b/>
          <w:iCs/>
          <w:szCs w:val="18"/>
        </w:rPr>
        <w:t>subwatershed</w:t>
      </w:r>
      <w:proofErr w:type="spellEnd"/>
      <w:r w:rsidR="00F7141A" w:rsidRPr="00E6247D">
        <w:rPr>
          <w:rFonts w:eastAsia="Calibri"/>
          <w:b/>
          <w:iCs/>
          <w:szCs w:val="18"/>
        </w:rPr>
        <w:t xml:space="preserve"> of the Crow Wing River Watershed (Information provided by MPCA).</w:t>
      </w:r>
    </w:p>
    <w:p w:rsidR="00F7141A" w:rsidRDefault="00F7141A" w:rsidP="00F7141A">
      <w:pPr>
        <w:spacing w:before="240" w:after="100"/>
        <w:rPr>
          <w:rFonts w:eastAsia="Calibri"/>
          <w:szCs w:val="22"/>
        </w:rPr>
      </w:pPr>
      <w:r w:rsidRPr="00E6247D">
        <w:rPr>
          <w:rFonts w:eastAsia="Calibri"/>
          <w:szCs w:val="22"/>
        </w:rPr>
        <w:t>Subsurface tile drainage has the potential to transport nutrients out of the root zone to surface waters, especially nitrate. During the past two decades,</w:t>
      </w:r>
      <w:r w:rsidRPr="00E6247D" w:rsidDel="0071479F">
        <w:rPr>
          <w:rFonts w:eastAsia="Calibri"/>
          <w:szCs w:val="22"/>
        </w:rPr>
        <w:t xml:space="preserve"> </w:t>
      </w:r>
      <w:r w:rsidRPr="00E6247D">
        <w:rPr>
          <w:rFonts w:eastAsia="Calibri"/>
          <w:szCs w:val="22"/>
        </w:rPr>
        <w:t xml:space="preserve">subsurface tile drainage installation has continually increased in Minnesota. A substantial increase in the installation rate occurred when a combination of wetter climate coincided with higher corn and soybean prices, particularly following 2008. </w:t>
      </w:r>
    </w:p>
    <w:p w:rsidR="00F7141A" w:rsidRPr="00E6247D" w:rsidRDefault="00F7141A" w:rsidP="00F7141A">
      <w:pPr>
        <w:spacing w:after="100"/>
        <w:rPr>
          <w:rFonts w:eastAsia="Calibri"/>
          <w:szCs w:val="22"/>
        </w:rPr>
      </w:pPr>
      <w:r w:rsidRPr="00E6247D">
        <w:rPr>
          <w:rFonts w:eastAsia="Calibri"/>
          <w:szCs w:val="22"/>
        </w:rPr>
        <w:t xml:space="preserve">The 2017 U.S. Census of Agriculture indicated that tile drained lands increased in Minnesota by 25% during the </w:t>
      </w:r>
      <w:r>
        <w:rPr>
          <w:rFonts w:eastAsia="Calibri"/>
          <w:szCs w:val="22"/>
        </w:rPr>
        <w:t>five</w:t>
      </w:r>
      <w:r w:rsidRPr="00E6247D">
        <w:rPr>
          <w:rFonts w:eastAsia="Calibri"/>
          <w:szCs w:val="22"/>
        </w:rPr>
        <w:t>-year period between 2012 and 2017 (</w:t>
      </w:r>
      <w:r w:rsidRPr="00E6247D">
        <w:rPr>
          <w:rFonts w:eastAsia="Calibri" w:cs="Arial"/>
          <w:szCs w:val="22"/>
        </w:rPr>
        <w:t>see table below</w:t>
      </w:r>
      <w:r w:rsidRPr="00E6247D">
        <w:rPr>
          <w:rFonts w:eastAsia="Calibri"/>
          <w:szCs w:val="22"/>
        </w:rPr>
        <w:t xml:space="preserve">). The Census report also indicated that over </w:t>
      </w:r>
      <w:r>
        <w:rPr>
          <w:rFonts w:eastAsia="Calibri"/>
          <w:szCs w:val="22"/>
        </w:rPr>
        <w:t>eight</w:t>
      </w:r>
      <w:r w:rsidRPr="00E6247D">
        <w:rPr>
          <w:rFonts w:eastAsia="Calibri"/>
          <w:szCs w:val="22"/>
        </w:rPr>
        <w:t xml:space="preserve"> million acres of land is tile-drained, which is approximately half of the total statewide corn and soybean lands. The Cropland Data Layer (CDL) published by USDA indicates there are about </w:t>
      </w:r>
      <w:r>
        <w:rPr>
          <w:rFonts w:eastAsia="Calibri"/>
          <w:szCs w:val="22"/>
        </w:rPr>
        <w:br/>
      </w:r>
      <w:r w:rsidRPr="00E6247D">
        <w:rPr>
          <w:rFonts w:eastAsia="Calibri"/>
          <w:szCs w:val="22"/>
        </w:rPr>
        <w:t xml:space="preserve">20 million acres of cropland (i.e., corn, soybean, sugar beets, wheat, oats, potatoes, barley) in Minnesota. Therefore, the 2017 Census data </w:t>
      </w:r>
      <w:r>
        <w:rPr>
          <w:rFonts w:eastAsia="Calibri"/>
          <w:szCs w:val="22"/>
        </w:rPr>
        <w:t xml:space="preserve">indicates that </w:t>
      </w:r>
      <w:r w:rsidRPr="00E6247D">
        <w:rPr>
          <w:rFonts w:eastAsia="Calibri"/>
          <w:szCs w:val="22"/>
        </w:rPr>
        <w:t>tile-drained land represents approximately 40% of Minnesota’s</w:t>
      </w:r>
      <w:r>
        <w:rPr>
          <w:rFonts w:eastAsia="Calibri"/>
          <w:szCs w:val="22"/>
        </w:rPr>
        <w:t xml:space="preserve"> cropland</w:t>
      </w:r>
      <w:r w:rsidRPr="00E6247D">
        <w:rPr>
          <w:rFonts w:eastAsia="Calibri"/>
          <w:szCs w:val="22"/>
        </w:rPr>
        <w:t>.</w:t>
      </w:r>
    </w:p>
    <w:p w:rsidR="00F7141A" w:rsidRPr="00E6247D" w:rsidRDefault="00F7141A" w:rsidP="00F7141A">
      <w:pPr>
        <w:keepNext/>
        <w:rPr>
          <w:rFonts w:eastAsia="Calibri"/>
          <w:b/>
          <w:iCs/>
          <w:szCs w:val="18"/>
        </w:rPr>
      </w:pPr>
      <w:r w:rsidRPr="00E6247D">
        <w:rPr>
          <w:rFonts w:eastAsia="Calibri"/>
          <w:b/>
          <w:iCs/>
          <w:szCs w:val="18"/>
        </w:rPr>
        <w:t>Minnesota Land Use Data Practices (2012 to 2017).</w:t>
      </w:r>
    </w:p>
    <w:tbl>
      <w:tblPr>
        <w:tblStyle w:val="TableGrid2"/>
        <w:tblW w:w="0" w:type="auto"/>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3116"/>
        <w:gridCol w:w="1232"/>
        <w:gridCol w:w="1232"/>
        <w:gridCol w:w="2155"/>
      </w:tblGrid>
      <w:tr w:rsidR="00F7141A" w:rsidRPr="00E6247D" w:rsidTr="008E2C2E">
        <w:tc>
          <w:tcPr>
            <w:tcW w:w="3116" w:type="dxa"/>
          </w:tcPr>
          <w:p w:rsidR="00F7141A" w:rsidRPr="00E6247D" w:rsidRDefault="00F7141A" w:rsidP="008E2C2E">
            <w:pPr>
              <w:rPr>
                <w:b/>
                <w:sz w:val="20"/>
              </w:rPr>
            </w:pPr>
            <w:r w:rsidRPr="00E6247D">
              <w:rPr>
                <w:b/>
                <w:sz w:val="20"/>
              </w:rPr>
              <w:t>Practice</w:t>
            </w:r>
          </w:p>
        </w:tc>
        <w:tc>
          <w:tcPr>
            <w:tcW w:w="1232" w:type="dxa"/>
          </w:tcPr>
          <w:p w:rsidR="00F7141A" w:rsidRPr="00E6247D" w:rsidRDefault="00F7141A" w:rsidP="008E2C2E">
            <w:pPr>
              <w:rPr>
                <w:b/>
                <w:sz w:val="20"/>
              </w:rPr>
            </w:pPr>
            <w:r w:rsidRPr="00E6247D">
              <w:rPr>
                <w:b/>
                <w:sz w:val="20"/>
              </w:rPr>
              <w:t>2012 Acres</w:t>
            </w:r>
          </w:p>
        </w:tc>
        <w:tc>
          <w:tcPr>
            <w:tcW w:w="1232" w:type="dxa"/>
          </w:tcPr>
          <w:p w:rsidR="00F7141A" w:rsidRPr="00E6247D" w:rsidRDefault="00F7141A" w:rsidP="008E2C2E">
            <w:pPr>
              <w:rPr>
                <w:b/>
                <w:sz w:val="20"/>
              </w:rPr>
            </w:pPr>
            <w:r w:rsidRPr="00E6247D">
              <w:rPr>
                <w:b/>
                <w:sz w:val="20"/>
              </w:rPr>
              <w:t>2017 Acres</w:t>
            </w:r>
          </w:p>
        </w:tc>
        <w:tc>
          <w:tcPr>
            <w:tcW w:w="2155" w:type="dxa"/>
          </w:tcPr>
          <w:p w:rsidR="00F7141A" w:rsidRPr="00E6247D" w:rsidRDefault="00F7141A" w:rsidP="008E2C2E">
            <w:pPr>
              <w:rPr>
                <w:b/>
                <w:sz w:val="20"/>
              </w:rPr>
            </w:pPr>
            <w:r w:rsidRPr="00E6247D">
              <w:rPr>
                <w:b/>
                <w:sz w:val="20"/>
              </w:rPr>
              <w:t>Increase 2012-17</w:t>
            </w:r>
          </w:p>
        </w:tc>
      </w:tr>
      <w:tr w:rsidR="00F7141A" w:rsidRPr="00E6247D" w:rsidTr="008E2C2E">
        <w:tc>
          <w:tcPr>
            <w:tcW w:w="3116" w:type="dxa"/>
          </w:tcPr>
          <w:p w:rsidR="00F7141A" w:rsidRPr="00E6247D" w:rsidRDefault="00F7141A" w:rsidP="008E2C2E">
            <w:pPr>
              <w:rPr>
                <w:sz w:val="20"/>
              </w:rPr>
            </w:pPr>
            <w:r w:rsidRPr="00E6247D">
              <w:rPr>
                <w:sz w:val="20"/>
              </w:rPr>
              <w:t>Land Drained by Tile</w:t>
            </w:r>
          </w:p>
        </w:tc>
        <w:tc>
          <w:tcPr>
            <w:tcW w:w="1232" w:type="dxa"/>
          </w:tcPr>
          <w:p w:rsidR="00F7141A" w:rsidRPr="00E6247D" w:rsidRDefault="00F7141A" w:rsidP="008E2C2E">
            <w:pPr>
              <w:rPr>
                <w:sz w:val="20"/>
              </w:rPr>
            </w:pPr>
            <w:r w:rsidRPr="00E6247D">
              <w:rPr>
                <w:sz w:val="20"/>
              </w:rPr>
              <w:t>6,461,173</w:t>
            </w:r>
          </w:p>
        </w:tc>
        <w:tc>
          <w:tcPr>
            <w:tcW w:w="1232" w:type="dxa"/>
          </w:tcPr>
          <w:p w:rsidR="00F7141A" w:rsidRPr="00E6247D" w:rsidRDefault="00F7141A" w:rsidP="008E2C2E">
            <w:pPr>
              <w:rPr>
                <w:sz w:val="20"/>
              </w:rPr>
            </w:pPr>
            <w:r w:rsidRPr="00E6247D">
              <w:rPr>
                <w:sz w:val="20"/>
              </w:rPr>
              <w:t>8,079,984</w:t>
            </w:r>
          </w:p>
        </w:tc>
        <w:tc>
          <w:tcPr>
            <w:tcW w:w="2155" w:type="dxa"/>
          </w:tcPr>
          <w:p w:rsidR="00F7141A" w:rsidRPr="00E6247D" w:rsidRDefault="00F7141A" w:rsidP="008E2C2E">
            <w:pPr>
              <w:rPr>
                <w:sz w:val="20"/>
              </w:rPr>
            </w:pPr>
            <w:r w:rsidRPr="00E6247D">
              <w:rPr>
                <w:sz w:val="20"/>
              </w:rPr>
              <w:t>+ 1,618,811 (+25%)</w:t>
            </w:r>
          </w:p>
        </w:tc>
      </w:tr>
      <w:tr w:rsidR="00F7141A" w:rsidRPr="00E6247D" w:rsidTr="008E2C2E">
        <w:tc>
          <w:tcPr>
            <w:tcW w:w="3116" w:type="dxa"/>
          </w:tcPr>
          <w:p w:rsidR="00F7141A" w:rsidRPr="00E6247D" w:rsidRDefault="00F7141A" w:rsidP="008E2C2E">
            <w:pPr>
              <w:rPr>
                <w:sz w:val="20"/>
              </w:rPr>
            </w:pPr>
            <w:r w:rsidRPr="00E6247D">
              <w:rPr>
                <w:sz w:val="20"/>
              </w:rPr>
              <w:t>Land Drained by Ditches</w:t>
            </w:r>
          </w:p>
        </w:tc>
        <w:tc>
          <w:tcPr>
            <w:tcW w:w="1232" w:type="dxa"/>
          </w:tcPr>
          <w:p w:rsidR="00F7141A" w:rsidRPr="00E6247D" w:rsidRDefault="00F7141A" w:rsidP="008E2C2E">
            <w:pPr>
              <w:rPr>
                <w:sz w:val="20"/>
              </w:rPr>
            </w:pPr>
            <w:r w:rsidRPr="00E6247D">
              <w:rPr>
                <w:sz w:val="20"/>
              </w:rPr>
              <w:t>4,548,977</w:t>
            </w:r>
          </w:p>
        </w:tc>
        <w:tc>
          <w:tcPr>
            <w:tcW w:w="1232" w:type="dxa"/>
          </w:tcPr>
          <w:p w:rsidR="00F7141A" w:rsidRPr="00E6247D" w:rsidRDefault="00F7141A" w:rsidP="008E2C2E">
            <w:pPr>
              <w:rPr>
                <w:sz w:val="20"/>
              </w:rPr>
            </w:pPr>
            <w:r w:rsidRPr="00E6247D">
              <w:rPr>
                <w:sz w:val="20"/>
              </w:rPr>
              <w:t>4,674,449</w:t>
            </w:r>
          </w:p>
        </w:tc>
        <w:tc>
          <w:tcPr>
            <w:tcW w:w="2155" w:type="dxa"/>
          </w:tcPr>
          <w:p w:rsidR="00F7141A" w:rsidRPr="00E6247D" w:rsidRDefault="00F7141A" w:rsidP="008E2C2E">
            <w:pPr>
              <w:rPr>
                <w:sz w:val="20"/>
              </w:rPr>
            </w:pPr>
            <w:r w:rsidRPr="00E6247D">
              <w:rPr>
                <w:sz w:val="20"/>
              </w:rPr>
              <w:t>+ 125,472 (+3%)</w:t>
            </w:r>
          </w:p>
        </w:tc>
      </w:tr>
    </w:tbl>
    <w:p w:rsidR="00F7141A" w:rsidRPr="00F7141A" w:rsidRDefault="00F7141A" w:rsidP="00F7141A">
      <w:pPr>
        <w:rPr>
          <w:rFonts w:eastAsia="Calibri"/>
          <w:szCs w:val="22"/>
        </w:rPr>
      </w:pPr>
      <w:r w:rsidRPr="00E6247D">
        <w:rPr>
          <w:rFonts w:eastAsia="Calibri"/>
          <w:szCs w:val="22"/>
        </w:rPr>
        <w:t xml:space="preserve">Source: USDA NASS US Census of Agriculture, Table 41 – Minnesota Land Use Practices </w:t>
      </w:r>
    </w:p>
    <w:sectPr w:rsidR="00F7141A" w:rsidRPr="00F7141A" w:rsidSect="00D24635">
      <w:footerReference w:type="default" r:id="rId20"/>
      <w:pgSz w:w="12240" w:h="15840"/>
      <w:pgMar w:top="1080" w:right="1440" w:bottom="108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A97" w:rsidRDefault="00816A97" w:rsidP="00F83E85">
      <w:r>
        <w:separator/>
      </w:r>
    </w:p>
    <w:p w:rsidR="00816A97" w:rsidRDefault="00816A97"/>
  </w:endnote>
  <w:endnote w:type="continuationSeparator" w:id="0">
    <w:p w:rsidR="00816A97" w:rsidRDefault="00816A97" w:rsidP="00F83E85">
      <w:r>
        <w:continuationSeparator/>
      </w:r>
    </w:p>
    <w:p w:rsidR="00816A97" w:rsidRDefault="00816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2F35FE3D4F18426EA8F61E9FEA25EB15"/>
      </w:placeholder>
      <w:temporary/>
      <w:showingPlcHdr/>
      <w15:appearance w15:val="hidden"/>
    </w:sdtPr>
    <w:sdtEndPr/>
    <w:sdtContent>
      <w:p w:rsidR="00E04A30" w:rsidRDefault="00E04A30">
        <w:pPr>
          <w:pStyle w:val="Footer"/>
        </w:pPr>
        <w:r>
          <w:t>[Type here]</w:t>
        </w:r>
      </w:p>
    </w:sdtContent>
  </w:sdt>
  <w:p w:rsidR="00F656B3" w:rsidRDefault="00F65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B3" w:rsidRDefault="00F656B3" w:rsidP="00F656B3">
    <w:pPr>
      <w:pStyle w:val="Footer"/>
      <w:rPr>
        <w:rFonts w:ascii="Calibri" w:eastAsia="Calibri" w:hAnsi="Calibri" w:cs="Arial"/>
        <w:szCs w:val="22"/>
      </w:rPr>
    </w:pPr>
    <w:r>
      <w:t>Appendix B External factors affecting water quality</w:t>
    </w:r>
    <w:r>
      <w:ptab w:relativeTo="margin" w:alignment="center" w:leader="none"/>
    </w:r>
    <w:r>
      <w:ptab w:relativeTo="margin" w:alignment="right" w:leader="none"/>
    </w:r>
    <w:r>
      <w:rPr>
        <w:rFonts w:ascii="Calibri" w:eastAsia="Calibri" w:hAnsi="Calibri" w:cs="Arial"/>
        <w:szCs w:val="22"/>
      </w:rPr>
      <w:t>August 2020</w:t>
    </w:r>
  </w:p>
  <w:p w:rsidR="00F656B3" w:rsidRPr="00F656B3" w:rsidRDefault="00F656B3" w:rsidP="00F656B3">
    <w:pPr>
      <w:pStyle w:val="Footer"/>
      <w:jc w:val="center"/>
    </w:pPr>
    <w:r w:rsidRPr="001E41B7">
      <w:fldChar w:fldCharType="begin"/>
    </w:r>
    <w:r w:rsidRPr="001E41B7">
      <w:instrText xml:space="preserve"> PAGE   \* MERGEFORMAT </w:instrText>
    </w:r>
    <w:r w:rsidRPr="001E41B7">
      <w:fldChar w:fldCharType="separate"/>
    </w:r>
    <w:r w:rsidR="00F4764D">
      <w:rPr>
        <w:noProof/>
      </w:rPr>
      <w:t>2</w:t>
    </w:r>
    <w:r w:rsidRPr="001E41B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1A" w:rsidRDefault="00F7141A">
    <w:pPr>
      <w:pStyle w:val="Footer"/>
      <w:rPr>
        <w:rFonts w:ascii="Calibri" w:eastAsia="Calibri" w:hAnsi="Calibri" w:cs="Arial"/>
        <w:szCs w:val="22"/>
      </w:rPr>
    </w:pPr>
    <w:r>
      <w:t>Appendix B External factors affecting water quality</w:t>
    </w:r>
    <w:r>
      <w:ptab w:relativeTo="margin" w:alignment="center" w:leader="none"/>
    </w:r>
    <w:r>
      <w:ptab w:relativeTo="margin" w:alignment="right" w:leader="none"/>
    </w:r>
    <w:r w:rsidR="00F656B3">
      <w:rPr>
        <w:rFonts w:ascii="Calibri" w:eastAsia="Calibri" w:hAnsi="Calibri" w:cs="Arial"/>
        <w:szCs w:val="22"/>
      </w:rPr>
      <w:t>August 2020</w:t>
    </w:r>
  </w:p>
  <w:p w:rsidR="00F7141A" w:rsidRPr="001E41B7" w:rsidRDefault="00F7141A" w:rsidP="001E41B7">
    <w:pPr>
      <w:pStyle w:val="Footer"/>
      <w:jc w:val="center"/>
    </w:pPr>
    <w:r>
      <w:fldChar w:fldCharType="begin"/>
    </w:r>
    <w:r>
      <w:instrText xml:space="preserve"> PAGE   \* MERGEFORMAT </w:instrText>
    </w:r>
    <w:r>
      <w:fldChar w:fldCharType="separate"/>
    </w:r>
    <w:r w:rsidR="00F4764D">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1A" w:rsidRDefault="00F7141A">
    <w:pPr>
      <w:pStyle w:val="Footer"/>
      <w:rPr>
        <w:rFonts w:ascii="Calibri" w:eastAsia="Calibri" w:hAnsi="Calibri" w:cs="Arial"/>
        <w:szCs w:val="22"/>
      </w:rPr>
    </w:pPr>
    <w:r>
      <w:t>Appendix B External factors affecting water quality</w:t>
    </w:r>
    <w:r>
      <w:ptab w:relativeTo="margin" w:alignment="center" w:leader="none"/>
    </w:r>
    <w:r>
      <w:ptab w:relativeTo="margin" w:alignment="right" w:leader="none"/>
    </w:r>
    <w:r w:rsidR="00F656B3">
      <w:rPr>
        <w:rFonts w:ascii="Calibri" w:eastAsia="Calibri" w:hAnsi="Calibri" w:cs="Arial"/>
        <w:szCs w:val="22"/>
      </w:rPr>
      <w:t>August 2020</w:t>
    </w:r>
  </w:p>
  <w:p w:rsidR="00F7141A" w:rsidRPr="00A12320" w:rsidRDefault="00F7141A" w:rsidP="001E41B7">
    <w:pPr>
      <w:pStyle w:val="Footer"/>
      <w:jc w:val="center"/>
      <w:rPr>
        <w:sz w:val="10"/>
      </w:rPr>
    </w:pPr>
    <w:r w:rsidRPr="001E41B7">
      <w:rPr>
        <w:rFonts w:ascii="Calibri" w:eastAsia="Calibri" w:hAnsi="Calibri" w:cs="Arial"/>
        <w:szCs w:val="22"/>
      </w:rPr>
      <w:fldChar w:fldCharType="begin"/>
    </w:r>
    <w:r w:rsidRPr="001E41B7">
      <w:rPr>
        <w:rFonts w:ascii="Calibri" w:eastAsia="Calibri" w:hAnsi="Calibri" w:cs="Arial"/>
        <w:szCs w:val="22"/>
      </w:rPr>
      <w:instrText xml:space="preserve"> PAGE   \* MERGEFORMAT </w:instrText>
    </w:r>
    <w:r w:rsidRPr="001E41B7">
      <w:rPr>
        <w:rFonts w:ascii="Calibri" w:eastAsia="Calibri" w:hAnsi="Calibri" w:cs="Arial"/>
        <w:szCs w:val="22"/>
      </w:rPr>
      <w:fldChar w:fldCharType="separate"/>
    </w:r>
    <w:r w:rsidR="00F4764D">
      <w:rPr>
        <w:rFonts w:ascii="Calibri" w:eastAsia="Calibri" w:hAnsi="Calibri" w:cs="Arial"/>
        <w:noProof/>
        <w:szCs w:val="22"/>
      </w:rPr>
      <w:t>4</w:t>
    </w:r>
    <w:r w:rsidRPr="001E41B7">
      <w:rPr>
        <w:rFonts w:ascii="Calibri" w:eastAsia="Calibri" w:hAnsi="Calibri" w:cs="Arial"/>
        <w:noProof/>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47D" w:rsidRDefault="00B96A84">
    <w:pPr>
      <w:pStyle w:val="Footer"/>
      <w:rPr>
        <w:rFonts w:ascii="Calibri" w:eastAsia="Calibri" w:hAnsi="Calibri" w:cs="Arial"/>
        <w:szCs w:val="22"/>
      </w:rPr>
    </w:pPr>
    <w:r>
      <w:t>Appendix B External factors affecting water quality</w:t>
    </w:r>
    <w:r>
      <w:ptab w:relativeTo="margin" w:alignment="center" w:leader="none"/>
    </w:r>
    <w:r>
      <w:ptab w:relativeTo="margin" w:alignment="right" w:leader="none"/>
    </w:r>
    <w:r w:rsidR="00F656B3">
      <w:rPr>
        <w:rFonts w:ascii="Calibri" w:eastAsia="Calibri" w:hAnsi="Calibri" w:cs="Arial"/>
        <w:szCs w:val="22"/>
      </w:rPr>
      <w:t>August 2020</w:t>
    </w:r>
  </w:p>
  <w:p w:rsidR="001E41B7" w:rsidRPr="001E41B7" w:rsidRDefault="00B96A84" w:rsidP="001E41B7">
    <w:pPr>
      <w:pStyle w:val="Footer"/>
      <w:jc w:val="center"/>
    </w:pPr>
    <w:r w:rsidRPr="001E41B7">
      <w:fldChar w:fldCharType="begin"/>
    </w:r>
    <w:r w:rsidRPr="001E41B7">
      <w:instrText xml:space="preserve"> PAGE   \* MERGEFORMAT </w:instrText>
    </w:r>
    <w:r w:rsidRPr="001E41B7">
      <w:fldChar w:fldCharType="separate"/>
    </w:r>
    <w:r w:rsidR="00F4764D">
      <w:rPr>
        <w:noProof/>
      </w:rPr>
      <w:t>5</w:t>
    </w:r>
    <w:r w:rsidRPr="001E41B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A97" w:rsidRDefault="00816A97" w:rsidP="00F83E85">
      <w:r>
        <w:separator/>
      </w:r>
    </w:p>
    <w:p w:rsidR="00816A97" w:rsidRDefault="00816A97"/>
  </w:footnote>
  <w:footnote w:type="continuationSeparator" w:id="0">
    <w:p w:rsidR="00816A97" w:rsidRDefault="00816A97" w:rsidP="00F83E85">
      <w:r>
        <w:continuationSeparator/>
      </w:r>
    </w:p>
    <w:p w:rsidR="00816A97" w:rsidRDefault="00816A97"/>
  </w:footnote>
  <w:footnote w:id="1">
    <w:p w:rsidR="00F7141A" w:rsidRDefault="00F7141A" w:rsidP="00F7141A">
      <w:pPr>
        <w:pStyle w:val="FootnoteText"/>
      </w:pPr>
      <w:r>
        <w:rPr>
          <w:rStyle w:val="FootnoteReference"/>
        </w:rPr>
        <w:footnoteRef/>
      </w:r>
      <w:r>
        <w:t xml:space="preserve"> Minnesota State Demographic Center. 2019. Latest annual estimates of Minnesota and its Economic Development Region’s population and households. Release August 2019. </w:t>
      </w:r>
      <w:hyperlink r:id="rId1" w:history="1">
        <w:r>
          <w:rPr>
            <w:rStyle w:val="Hyperlink"/>
          </w:rPr>
          <w:t>https://mn.gov/admin/demography/data-by-topic/population-data/our-estimates/</w:t>
        </w:r>
      </w:hyperlink>
    </w:p>
  </w:footnote>
  <w:footnote w:id="2">
    <w:p w:rsidR="00E04A30" w:rsidRPr="00E04A30" w:rsidRDefault="00F7141A" w:rsidP="00E04A30">
      <w:pPr>
        <w:rPr>
          <w:color w:val="012B4C"/>
          <w:sz w:val="18"/>
          <w:szCs w:val="18"/>
        </w:rPr>
      </w:pPr>
      <w:r>
        <w:rPr>
          <w:rStyle w:val="FootnoteReference"/>
        </w:rPr>
        <w:footnoteRef/>
      </w:r>
      <w:r>
        <w:t xml:space="preserve"> </w:t>
      </w:r>
      <w:r>
        <w:rPr>
          <w:rFonts w:eastAsia="Calibri"/>
        </w:rPr>
        <w:t>USDA</w:t>
      </w:r>
      <w:r w:rsidRPr="00E86566">
        <w:rPr>
          <w:rFonts w:eastAsia="Calibri"/>
        </w:rPr>
        <w:t xml:space="preserve"> National Agricultural Statistics Service</w:t>
      </w:r>
      <w:r>
        <w:rPr>
          <w:rFonts w:eastAsia="Calibri"/>
        </w:rPr>
        <w:t>s.2012 and 2017. 2012 and 2017 Census of Agriculture. State level data for Minnesota.</w:t>
      </w:r>
      <w:r w:rsidR="00E04A30">
        <w:rPr>
          <w:rFonts w:eastAsia="Calibri"/>
        </w:rPr>
        <w:tab/>
      </w:r>
      <w:r w:rsidR="00E04A30">
        <w:rPr>
          <w:rFonts w:eastAsia="Calibri"/>
        </w:rPr>
        <w:tab/>
      </w:r>
      <w:r w:rsidR="00E04A30">
        <w:rPr>
          <w:rFonts w:eastAsia="Calibri"/>
        </w:rPr>
        <w:tab/>
      </w:r>
      <w:r w:rsidR="00E04A30">
        <w:rPr>
          <w:rFonts w:eastAsia="Calibri"/>
        </w:rPr>
        <w:tab/>
      </w:r>
      <w:r w:rsidR="00E04A30">
        <w:rPr>
          <w:rFonts w:eastAsia="Calibri"/>
        </w:rPr>
        <w:tab/>
      </w:r>
      <w:r w:rsidR="00E04A30">
        <w:rPr>
          <w:rFonts w:eastAsia="Calibri"/>
        </w:rPr>
        <w:tab/>
      </w:r>
      <w:r w:rsidR="00E04A30">
        <w:rPr>
          <w:rFonts w:eastAsia="Calibri"/>
        </w:rPr>
        <w:tab/>
      </w:r>
      <w:r w:rsidR="00E04A30">
        <w:rPr>
          <w:rFonts w:eastAsia="Calibri"/>
        </w:rPr>
        <w:tab/>
      </w:r>
      <w:bookmarkStart w:id="2" w:name="_GoBack"/>
      <w:r w:rsidR="00E04A30" w:rsidRPr="00E04A30">
        <w:rPr>
          <w:color w:val="012B4C"/>
          <w:sz w:val="18"/>
          <w:szCs w:val="18"/>
        </w:rPr>
        <w:t>wq-s1-84e</w:t>
      </w:r>
    </w:p>
    <w:bookmarkEnd w:id="2"/>
    <w:p w:rsidR="00F7141A" w:rsidRDefault="00F7141A" w:rsidP="00F7141A">
      <w:pPr>
        <w:pStyle w:val="FootnoteText"/>
      </w:pPr>
    </w:p>
  </w:footnote>
  <w:footnote w:id="3">
    <w:p w:rsidR="00F7141A" w:rsidRPr="00495438" w:rsidRDefault="00F7141A" w:rsidP="00F7141A">
      <w:pPr>
        <w:ind w:left="720" w:hanging="720"/>
      </w:pPr>
      <w:r w:rsidRPr="00495438">
        <w:rPr>
          <w:rStyle w:val="FootnoteReference"/>
        </w:rPr>
        <w:footnoteRef/>
      </w:r>
      <w:r w:rsidRPr="00495438">
        <w:t xml:space="preserve"> </w:t>
      </w:r>
      <w:proofErr w:type="spellStart"/>
      <w:r w:rsidRPr="00495438">
        <w:t>Blann</w:t>
      </w:r>
      <w:proofErr w:type="spellEnd"/>
      <w:r w:rsidRPr="00495438">
        <w:t>, K. 2019. Personal communications. The Nature Conservancy, Minnesota.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1BE245A"/>
    <w:lvl w:ilvl="0">
      <w:numFmt w:val="decimal"/>
      <w:lvlText w:val="*"/>
      <w:lvlJc w:val="left"/>
    </w:lvl>
  </w:abstractNum>
  <w:abstractNum w:abstractNumId="1" w15:restartNumberingAfterBreak="0">
    <w:nsid w:val="1F326803"/>
    <w:multiLevelType w:val="hybridMultilevel"/>
    <w:tmpl w:val="FCB41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A9F2C68"/>
    <w:multiLevelType w:val="hybridMultilevel"/>
    <w:tmpl w:val="B580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C4411"/>
    <w:multiLevelType w:val="hybridMultilevel"/>
    <w:tmpl w:val="5FEC744A"/>
    <w:lvl w:ilvl="0" w:tplc="B9D0D94A">
      <w:start w:val="1"/>
      <w:numFmt w:val="bullet"/>
      <w:pStyle w:val="PCABulletLevel2"/>
      <w:lvlText w:val=""/>
      <w:lvlJc w:val="left"/>
      <w:pPr>
        <w:ind w:left="720" w:hanging="360"/>
      </w:pPr>
      <w:rPr>
        <w:rFonts w:ascii="Symbol" w:hAnsi="Symbol"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A2F50"/>
    <w:multiLevelType w:val="hybridMultilevel"/>
    <w:tmpl w:val="16AC2E26"/>
    <w:lvl w:ilvl="0" w:tplc="B1047B96">
      <w:start w:val="1"/>
      <w:numFmt w:val="bullet"/>
      <w:pStyle w:val="PCABulletLevel1"/>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3752D"/>
    <w:multiLevelType w:val="hybridMultilevel"/>
    <w:tmpl w:val="32C8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635A2"/>
    <w:multiLevelType w:val="hybridMultilevel"/>
    <w:tmpl w:val="7702E39C"/>
    <w:lvl w:ilvl="0" w:tplc="9C1C4408">
      <w:start w:val="1"/>
      <w:numFmt w:val="bullet"/>
      <w:lvlText w:val=""/>
      <w:lvlJc w:val="left"/>
      <w:pPr>
        <w:ind w:left="1080" w:hanging="360"/>
      </w:pPr>
      <w:rPr>
        <w:rFonts w:ascii="Symbol" w:hAnsi="Symbol" w:hint="default"/>
        <w:color w:val="7F7F7F" w:themeColor="text1" w:themeTint="8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2625243"/>
    <w:multiLevelType w:val="hybridMultilevel"/>
    <w:tmpl w:val="309E9FB4"/>
    <w:lvl w:ilvl="0" w:tplc="39281C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922FD"/>
    <w:multiLevelType w:val="hybridMultilevel"/>
    <w:tmpl w:val="485E91EC"/>
    <w:lvl w:ilvl="0" w:tplc="6EBEF1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3530AF"/>
    <w:multiLevelType w:val="hybridMultilevel"/>
    <w:tmpl w:val="F21492D0"/>
    <w:lvl w:ilvl="0" w:tplc="9384D474">
      <w:start w:val="1"/>
      <w:numFmt w:val="decimal"/>
      <w:pStyle w:val="PC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1356D"/>
    <w:multiLevelType w:val="singleLevel"/>
    <w:tmpl w:val="B8F8917A"/>
    <w:lvl w:ilvl="0">
      <w:start w:val="1"/>
      <w:numFmt w:val="bullet"/>
      <w:lvlText w:val=""/>
      <w:lvlJc w:val="left"/>
      <w:pPr>
        <w:tabs>
          <w:tab w:val="num" w:pos="810"/>
        </w:tabs>
        <w:ind w:left="810" w:hanging="360"/>
      </w:pPr>
      <w:rPr>
        <w:rFonts w:ascii="Symbol" w:hAnsi="Symbol" w:hint="default"/>
      </w:rPr>
    </w:lvl>
  </w:abstractNum>
  <w:abstractNum w:abstractNumId="11" w15:restartNumberingAfterBreak="0">
    <w:nsid w:val="78BA425D"/>
    <w:multiLevelType w:val="hybridMultilevel"/>
    <w:tmpl w:val="72D6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5F4AB3"/>
    <w:multiLevelType w:val="hybridMultilevel"/>
    <w:tmpl w:val="CA6E91A6"/>
    <w:lvl w:ilvl="0" w:tplc="2A9E457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lvlOverride w:ilvl="0">
      <w:lvl w:ilvl="0">
        <w:start w:val="1"/>
        <w:numFmt w:val="bullet"/>
        <w:lvlText w:val=""/>
        <w:legacy w:legacy="1" w:legacySpace="0" w:legacyIndent="240"/>
        <w:lvlJc w:val="left"/>
        <w:pPr>
          <w:ind w:left="240" w:hanging="240"/>
        </w:pPr>
        <w:rPr>
          <w:rFonts w:ascii="Wingdings" w:hAnsi="Wingdings"/>
          <w:sz w:val="12"/>
        </w:rPr>
      </w:lvl>
    </w:lvlOverride>
  </w:num>
  <w:num w:numId="3">
    <w:abstractNumId w:val="10"/>
  </w:num>
  <w:num w:numId="4">
    <w:abstractNumId w:val="10"/>
  </w:num>
  <w:num w:numId="5">
    <w:abstractNumId w:val="2"/>
  </w:num>
  <w:num w:numId="6">
    <w:abstractNumId w:val="5"/>
  </w:num>
  <w:num w:numId="7">
    <w:abstractNumId w:val="8"/>
  </w:num>
  <w:num w:numId="8">
    <w:abstractNumId w:val="7"/>
  </w:num>
  <w:num w:numId="9">
    <w:abstractNumId w:val="3"/>
  </w:num>
  <w:num w:numId="10">
    <w:abstractNumId w:val="11"/>
  </w:num>
  <w:num w:numId="11">
    <w:abstractNumId w:val="7"/>
  </w:num>
  <w:num w:numId="12">
    <w:abstractNumId w:val="4"/>
  </w:num>
  <w:num w:numId="13">
    <w:abstractNumId w:val="3"/>
  </w:num>
  <w:num w:numId="14">
    <w:abstractNumId w:val="4"/>
  </w:num>
  <w:num w:numId="15">
    <w:abstractNumId w:val="3"/>
  </w:num>
  <w:num w:numId="16">
    <w:abstractNumId w:val="9"/>
  </w:num>
  <w:num w:numId="17">
    <w:abstractNumId w:val="12"/>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J0uGRZtYkdsurNDEAKei15iRy6GRFLUaW1ZbtLKrOZ/gcUZaszIxD6i0JkliKK13w6xpGIBucTAc40QrV1JT+g==" w:salt="aS7/4HWfu/ZIf9K2vOeZ7w=="/>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2C"/>
    <w:rsid w:val="00007E45"/>
    <w:rsid w:val="00034A95"/>
    <w:rsid w:val="00035F78"/>
    <w:rsid w:val="00047EEC"/>
    <w:rsid w:val="00053F31"/>
    <w:rsid w:val="00062717"/>
    <w:rsid w:val="0007159D"/>
    <w:rsid w:val="00080855"/>
    <w:rsid w:val="0008304A"/>
    <w:rsid w:val="000915B6"/>
    <w:rsid w:val="00093AA1"/>
    <w:rsid w:val="000A384C"/>
    <w:rsid w:val="000D09C1"/>
    <w:rsid w:val="000F0361"/>
    <w:rsid w:val="000F22CC"/>
    <w:rsid w:val="000F6A03"/>
    <w:rsid w:val="00105FF7"/>
    <w:rsid w:val="00112318"/>
    <w:rsid w:val="00125F82"/>
    <w:rsid w:val="001271F3"/>
    <w:rsid w:val="00132472"/>
    <w:rsid w:val="0013419E"/>
    <w:rsid w:val="00153968"/>
    <w:rsid w:val="00162BCA"/>
    <w:rsid w:val="001732D4"/>
    <w:rsid w:val="00174006"/>
    <w:rsid w:val="00183217"/>
    <w:rsid w:val="00190AEC"/>
    <w:rsid w:val="001B0422"/>
    <w:rsid w:val="001B7E84"/>
    <w:rsid w:val="001C79EE"/>
    <w:rsid w:val="001D2F68"/>
    <w:rsid w:val="001E6E1C"/>
    <w:rsid w:val="001F1AC2"/>
    <w:rsid w:val="0020257C"/>
    <w:rsid w:val="00205726"/>
    <w:rsid w:val="00210DEF"/>
    <w:rsid w:val="00236193"/>
    <w:rsid w:val="00247CEF"/>
    <w:rsid w:val="00265790"/>
    <w:rsid w:val="00271704"/>
    <w:rsid w:val="00295A36"/>
    <w:rsid w:val="002C1F46"/>
    <w:rsid w:val="002C6AFB"/>
    <w:rsid w:val="002D189C"/>
    <w:rsid w:val="00312CE2"/>
    <w:rsid w:val="00325C63"/>
    <w:rsid w:val="00327EDB"/>
    <w:rsid w:val="00331545"/>
    <w:rsid w:val="003545E6"/>
    <w:rsid w:val="00360CD8"/>
    <w:rsid w:val="00364494"/>
    <w:rsid w:val="00373881"/>
    <w:rsid w:val="00376485"/>
    <w:rsid w:val="00376DB6"/>
    <w:rsid w:val="00394857"/>
    <w:rsid w:val="00395781"/>
    <w:rsid w:val="00395CA1"/>
    <w:rsid w:val="00397516"/>
    <w:rsid w:val="003A7CFE"/>
    <w:rsid w:val="003C1944"/>
    <w:rsid w:val="003C333E"/>
    <w:rsid w:val="003C6A2B"/>
    <w:rsid w:val="003F7155"/>
    <w:rsid w:val="00404988"/>
    <w:rsid w:val="00422829"/>
    <w:rsid w:val="00422F51"/>
    <w:rsid w:val="004414FA"/>
    <w:rsid w:val="00441775"/>
    <w:rsid w:val="00441E82"/>
    <w:rsid w:val="00455C11"/>
    <w:rsid w:val="00465A81"/>
    <w:rsid w:val="004753EF"/>
    <w:rsid w:val="00482296"/>
    <w:rsid w:val="00482528"/>
    <w:rsid w:val="00490660"/>
    <w:rsid w:val="004A0394"/>
    <w:rsid w:val="004B5B95"/>
    <w:rsid w:val="004C70D7"/>
    <w:rsid w:val="004D451C"/>
    <w:rsid w:val="004D7C70"/>
    <w:rsid w:val="004E066B"/>
    <w:rsid w:val="004E3255"/>
    <w:rsid w:val="00513DF0"/>
    <w:rsid w:val="00543244"/>
    <w:rsid w:val="0054497B"/>
    <w:rsid w:val="005457DA"/>
    <w:rsid w:val="0055006E"/>
    <w:rsid w:val="005B20B8"/>
    <w:rsid w:val="005B342B"/>
    <w:rsid w:val="005D5955"/>
    <w:rsid w:val="005E5981"/>
    <w:rsid w:val="00601E68"/>
    <w:rsid w:val="00606F04"/>
    <w:rsid w:val="006170DE"/>
    <w:rsid w:val="00636B02"/>
    <w:rsid w:val="006373B6"/>
    <w:rsid w:val="0064394B"/>
    <w:rsid w:val="006621A2"/>
    <w:rsid w:val="00663A08"/>
    <w:rsid w:val="0066426D"/>
    <w:rsid w:val="0066631F"/>
    <w:rsid w:val="00671D3A"/>
    <w:rsid w:val="006876DD"/>
    <w:rsid w:val="00697093"/>
    <w:rsid w:val="006A1794"/>
    <w:rsid w:val="006A1BDF"/>
    <w:rsid w:val="006C435E"/>
    <w:rsid w:val="006F3383"/>
    <w:rsid w:val="007038BC"/>
    <w:rsid w:val="00715E80"/>
    <w:rsid w:val="00721F3F"/>
    <w:rsid w:val="00732AA2"/>
    <w:rsid w:val="00744519"/>
    <w:rsid w:val="007518EA"/>
    <w:rsid w:val="007568EB"/>
    <w:rsid w:val="00760FB2"/>
    <w:rsid w:val="007660AB"/>
    <w:rsid w:val="007678E0"/>
    <w:rsid w:val="007827CC"/>
    <w:rsid w:val="0078369F"/>
    <w:rsid w:val="0078577C"/>
    <w:rsid w:val="00794E49"/>
    <w:rsid w:val="007E372A"/>
    <w:rsid w:val="007F0EE3"/>
    <w:rsid w:val="00816A97"/>
    <w:rsid w:val="0082584B"/>
    <w:rsid w:val="008261F8"/>
    <w:rsid w:val="008427F3"/>
    <w:rsid w:val="008453D9"/>
    <w:rsid w:val="00845521"/>
    <w:rsid w:val="0085734D"/>
    <w:rsid w:val="00862B8B"/>
    <w:rsid w:val="0086577A"/>
    <w:rsid w:val="00866CD3"/>
    <w:rsid w:val="00870E23"/>
    <w:rsid w:val="00886CA0"/>
    <w:rsid w:val="0089137D"/>
    <w:rsid w:val="00896D98"/>
    <w:rsid w:val="008A78E7"/>
    <w:rsid w:val="008B5D86"/>
    <w:rsid w:val="008D13F9"/>
    <w:rsid w:val="008E1206"/>
    <w:rsid w:val="009071D7"/>
    <w:rsid w:val="0091473F"/>
    <w:rsid w:val="00952A10"/>
    <w:rsid w:val="00954F13"/>
    <w:rsid w:val="00960CE6"/>
    <w:rsid w:val="009672B0"/>
    <w:rsid w:val="009A33E8"/>
    <w:rsid w:val="009B3EB2"/>
    <w:rsid w:val="009E6D0D"/>
    <w:rsid w:val="00A0048A"/>
    <w:rsid w:val="00A032A6"/>
    <w:rsid w:val="00A14922"/>
    <w:rsid w:val="00A245EC"/>
    <w:rsid w:val="00A3226D"/>
    <w:rsid w:val="00A32F8A"/>
    <w:rsid w:val="00A405C1"/>
    <w:rsid w:val="00A76AEF"/>
    <w:rsid w:val="00A8088E"/>
    <w:rsid w:val="00AD323D"/>
    <w:rsid w:val="00AD3780"/>
    <w:rsid w:val="00AF6FAF"/>
    <w:rsid w:val="00AF7C8C"/>
    <w:rsid w:val="00B2305E"/>
    <w:rsid w:val="00B239F8"/>
    <w:rsid w:val="00B36149"/>
    <w:rsid w:val="00B42DA0"/>
    <w:rsid w:val="00B4589C"/>
    <w:rsid w:val="00B46B0D"/>
    <w:rsid w:val="00B504F8"/>
    <w:rsid w:val="00B85CAE"/>
    <w:rsid w:val="00B95E2C"/>
    <w:rsid w:val="00B96A84"/>
    <w:rsid w:val="00BD08B4"/>
    <w:rsid w:val="00C128D7"/>
    <w:rsid w:val="00C14EC2"/>
    <w:rsid w:val="00C164D3"/>
    <w:rsid w:val="00C20DF9"/>
    <w:rsid w:val="00C23F63"/>
    <w:rsid w:val="00C34A03"/>
    <w:rsid w:val="00C43B15"/>
    <w:rsid w:val="00C44594"/>
    <w:rsid w:val="00C52FAF"/>
    <w:rsid w:val="00C57E4C"/>
    <w:rsid w:val="00C60561"/>
    <w:rsid w:val="00C76701"/>
    <w:rsid w:val="00C93CF3"/>
    <w:rsid w:val="00C97C8C"/>
    <w:rsid w:val="00CB3146"/>
    <w:rsid w:val="00CC6261"/>
    <w:rsid w:val="00CE21D8"/>
    <w:rsid w:val="00CE523E"/>
    <w:rsid w:val="00CF1EE6"/>
    <w:rsid w:val="00D016BE"/>
    <w:rsid w:val="00D03899"/>
    <w:rsid w:val="00D05F0E"/>
    <w:rsid w:val="00D149F9"/>
    <w:rsid w:val="00D23B22"/>
    <w:rsid w:val="00D24635"/>
    <w:rsid w:val="00D4340D"/>
    <w:rsid w:val="00D4455A"/>
    <w:rsid w:val="00D6306E"/>
    <w:rsid w:val="00D77FB1"/>
    <w:rsid w:val="00D86626"/>
    <w:rsid w:val="00DA1B8A"/>
    <w:rsid w:val="00DA2014"/>
    <w:rsid w:val="00DA640F"/>
    <w:rsid w:val="00DA75F5"/>
    <w:rsid w:val="00DB4EFA"/>
    <w:rsid w:val="00DE5FDF"/>
    <w:rsid w:val="00E04A30"/>
    <w:rsid w:val="00E14CB0"/>
    <w:rsid w:val="00E260DC"/>
    <w:rsid w:val="00E3158C"/>
    <w:rsid w:val="00E57EAD"/>
    <w:rsid w:val="00E62525"/>
    <w:rsid w:val="00E67AFB"/>
    <w:rsid w:val="00E81E5B"/>
    <w:rsid w:val="00E82A6B"/>
    <w:rsid w:val="00EB4E82"/>
    <w:rsid w:val="00EC70D1"/>
    <w:rsid w:val="00EE15BF"/>
    <w:rsid w:val="00F0492D"/>
    <w:rsid w:val="00F070B5"/>
    <w:rsid w:val="00F244C2"/>
    <w:rsid w:val="00F30D83"/>
    <w:rsid w:val="00F35596"/>
    <w:rsid w:val="00F4764D"/>
    <w:rsid w:val="00F61FFE"/>
    <w:rsid w:val="00F656B3"/>
    <w:rsid w:val="00F7141A"/>
    <w:rsid w:val="00F75184"/>
    <w:rsid w:val="00F83E85"/>
    <w:rsid w:val="00F9135C"/>
    <w:rsid w:val="00FA31C1"/>
    <w:rsid w:val="00FC563E"/>
    <w:rsid w:val="00FD64CB"/>
    <w:rsid w:val="00FE4651"/>
    <w:rsid w:val="00FF474A"/>
    <w:rsid w:val="00FF7C1C"/>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447C6D"/>
  <w15:docId w15:val="{2A34CF25-5886-4E67-BC0F-0450513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lsdException w:name="heading 3" w:uiPriority="9"/>
    <w:lsdException w:name="heading 4" w:uiPriority="9"/>
    <w:lsdException w:name="heading 5" w:semiHidden="1" w:uiPriority="9" w:unhideWhenUsed="1" w:qFormat="1"/>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183217"/>
    <w:pPr>
      <w:spacing w:after="120"/>
    </w:pPr>
    <w:rPr>
      <w:rFonts w:ascii="Calibri" w:hAnsi="Calibri"/>
      <w:sz w:val="22"/>
      <w:szCs w:val="24"/>
    </w:rPr>
  </w:style>
  <w:style w:type="paragraph" w:styleId="Heading1">
    <w:name w:val="heading 1"/>
    <w:basedOn w:val="Normal"/>
    <w:next w:val="Normal"/>
    <w:link w:val="Heading1Char"/>
    <w:uiPriority w:val="9"/>
    <w:qFormat/>
    <w:rsid w:val="00F61FFE"/>
    <w:pPr>
      <w:keepNext/>
      <w:pBdr>
        <w:bottom w:val="single" w:sz="2" w:space="3" w:color="auto"/>
      </w:pBdr>
      <w:spacing w:after="60"/>
      <w:outlineLvl w:val="0"/>
    </w:pPr>
    <w:rPr>
      <w:b/>
      <w:color w:val="404040"/>
      <w:kern w:val="28"/>
      <w:sz w:val="44"/>
      <w:szCs w:val="44"/>
    </w:rPr>
  </w:style>
  <w:style w:type="paragraph" w:styleId="Heading2">
    <w:name w:val="heading 2"/>
    <w:basedOn w:val="Normal"/>
    <w:next w:val="Normal"/>
    <w:uiPriority w:val="5"/>
    <w:rsid w:val="00C164D3"/>
    <w:pPr>
      <w:keepNext/>
      <w:spacing w:before="360"/>
      <w:outlineLvl w:val="1"/>
    </w:pPr>
    <w:rPr>
      <w:b/>
      <w:sz w:val="32"/>
      <w:szCs w:val="20"/>
    </w:rPr>
  </w:style>
  <w:style w:type="paragraph" w:styleId="Heading3">
    <w:name w:val="heading 3"/>
    <w:basedOn w:val="Normal"/>
    <w:next w:val="Normal"/>
    <w:uiPriority w:val="6"/>
    <w:rsid w:val="00C164D3"/>
    <w:pPr>
      <w:keepNext/>
      <w:spacing w:before="240" w:after="60"/>
      <w:outlineLvl w:val="2"/>
    </w:pPr>
    <w:rPr>
      <w:b/>
      <w:sz w:val="28"/>
      <w:szCs w:val="20"/>
    </w:rPr>
  </w:style>
  <w:style w:type="paragraph" w:styleId="Heading4">
    <w:name w:val="heading 4"/>
    <w:aliases w:val="-standalone"/>
    <w:basedOn w:val="Normal"/>
    <w:next w:val="Normal"/>
    <w:link w:val="Heading4Char"/>
    <w:uiPriority w:val="8"/>
    <w:rsid w:val="00C164D3"/>
    <w:pPr>
      <w:keepNext/>
      <w:spacing w:before="160"/>
      <w:outlineLvl w:val="3"/>
    </w:pPr>
    <w:rPr>
      <w:b/>
      <w:szCs w:val="18"/>
    </w:rPr>
  </w:style>
  <w:style w:type="paragraph" w:styleId="Heading6">
    <w:name w:val="heading 6"/>
    <w:basedOn w:val="Normal"/>
    <w:next w:val="Normal"/>
    <w:semiHidden/>
    <w:rsid w:val="00C76701"/>
    <w:pPr>
      <w:spacing w:before="240" w:line="240" w:lineRule="atLeast"/>
      <w:jc w:val="both"/>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standalone Char"/>
    <w:basedOn w:val="DefaultParagraphFont"/>
    <w:link w:val="Heading4"/>
    <w:uiPriority w:val="8"/>
    <w:rsid w:val="00441775"/>
    <w:rPr>
      <w:rFonts w:ascii="Calibri" w:hAnsi="Calibri"/>
      <w:b/>
      <w:sz w:val="22"/>
      <w:szCs w:val="18"/>
    </w:rPr>
  </w:style>
  <w:style w:type="paragraph" w:customStyle="1" w:styleId="Title--Subtitle">
    <w:name w:val="Title--Subtitle"/>
    <w:basedOn w:val="Normal"/>
    <w:uiPriority w:val="1"/>
    <w:qFormat/>
    <w:rsid w:val="00210DEF"/>
    <w:rPr>
      <w:color w:val="FFFFFF" w:themeColor="background1"/>
    </w:rPr>
  </w:style>
  <w:style w:type="paragraph" w:styleId="Footer">
    <w:name w:val="footer"/>
    <w:basedOn w:val="Normal"/>
    <w:link w:val="FooterChar"/>
    <w:uiPriority w:val="99"/>
    <w:rsid w:val="00A32F8A"/>
    <w:pPr>
      <w:pBdr>
        <w:top w:val="single" w:sz="2" w:space="6" w:color="auto"/>
      </w:pBdr>
      <w:tabs>
        <w:tab w:val="right" w:pos="9360"/>
      </w:tabs>
      <w:spacing w:before="120"/>
      <w:ind w:right="-54"/>
    </w:pPr>
    <w:rPr>
      <w:rFonts w:asciiTheme="minorHAnsi" w:hAnsiTheme="minorHAnsi"/>
      <w:sz w:val="16"/>
      <w:szCs w:val="16"/>
    </w:rPr>
  </w:style>
  <w:style w:type="paragraph" w:customStyle="1" w:styleId="Authorscontributors">
    <w:name w:val="Authors/contributors"/>
    <w:basedOn w:val="PCABodyText11"/>
    <w:uiPriority w:val="3"/>
    <w:rsid w:val="00FF7F8A"/>
    <w:pPr>
      <w:spacing w:after="0"/>
    </w:pPr>
  </w:style>
  <w:style w:type="paragraph" w:customStyle="1" w:styleId="PCABodyText11">
    <w:name w:val="PCA Body Text 11"/>
    <w:basedOn w:val="Normal"/>
    <w:link w:val="PCABodyText11Char"/>
    <w:uiPriority w:val="2"/>
    <w:qFormat/>
    <w:rsid w:val="00C164D3"/>
    <w:pPr>
      <w:spacing w:line="280" w:lineRule="exact"/>
    </w:pPr>
    <w:rPr>
      <w:rFonts w:asciiTheme="minorHAnsi" w:hAnsiTheme="minorHAnsi"/>
      <w:szCs w:val="20"/>
    </w:rPr>
  </w:style>
  <w:style w:type="character" w:customStyle="1" w:styleId="PCABodyText11Char">
    <w:name w:val="PCA Body Text 11 Char"/>
    <w:basedOn w:val="DefaultParagraphFont"/>
    <w:link w:val="PCABodyText11"/>
    <w:uiPriority w:val="2"/>
    <w:rsid w:val="00441775"/>
    <w:rPr>
      <w:rFonts w:asciiTheme="minorHAnsi" w:hAnsiTheme="minorHAnsi"/>
      <w:sz w:val="22"/>
    </w:rPr>
  </w:style>
  <w:style w:type="character" w:styleId="PageNumber">
    <w:name w:val="page number"/>
    <w:basedOn w:val="DefaultParagraphFont"/>
    <w:uiPriority w:val="16"/>
    <w:rsid w:val="00AF7C8C"/>
    <w:rPr>
      <w:rFonts w:asciiTheme="minorHAnsi" w:hAnsiTheme="minorHAnsi"/>
      <w:sz w:val="16"/>
    </w:rPr>
  </w:style>
  <w:style w:type="paragraph" w:customStyle="1" w:styleId="PCATableheading">
    <w:name w:val="PCA Table heading"/>
    <w:uiPriority w:val="10"/>
    <w:rsid w:val="00490660"/>
    <w:pPr>
      <w:spacing w:before="60"/>
    </w:pPr>
    <w:rPr>
      <w:rFonts w:ascii="Calibri" w:hAnsi="Calibri"/>
      <w:b/>
      <w:snapToGrid w:val="0"/>
      <w:color w:val="000000"/>
      <w:szCs w:val="18"/>
    </w:rPr>
  </w:style>
  <w:style w:type="paragraph" w:customStyle="1" w:styleId="PCATabletext">
    <w:name w:val="PCA Table text"/>
    <w:basedOn w:val="Normal"/>
    <w:uiPriority w:val="11"/>
    <w:rsid w:val="00490660"/>
    <w:pPr>
      <w:spacing w:before="60" w:after="0"/>
    </w:pPr>
    <w:rPr>
      <w:sz w:val="20"/>
      <w:szCs w:val="20"/>
    </w:rPr>
  </w:style>
  <w:style w:type="paragraph" w:styleId="Title">
    <w:name w:val="Title"/>
    <w:basedOn w:val="Normal"/>
    <w:link w:val="TitleChar"/>
    <w:qFormat/>
    <w:rsid w:val="00210DEF"/>
    <w:rPr>
      <w:b/>
      <w:color w:val="FFFFFF"/>
      <w:sz w:val="56"/>
      <w:szCs w:val="56"/>
    </w:rPr>
  </w:style>
  <w:style w:type="character" w:customStyle="1" w:styleId="TitleChar">
    <w:name w:val="Title Char"/>
    <w:link w:val="Title"/>
    <w:rsid w:val="00870E23"/>
    <w:rPr>
      <w:rFonts w:ascii="Calibri" w:hAnsi="Calibri"/>
      <w:b/>
      <w:color w:val="FFFFFF"/>
      <w:sz w:val="56"/>
      <w:szCs w:val="56"/>
    </w:rPr>
  </w:style>
  <w:style w:type="character" w:styleId="PlaceholderText">
    <w:name w:val="Placeholder Text"/>
    <w:basedOn w:val="DefaultParagraphFont"/>
    <w:uiPriority w:val="99"/>
    <w:semiHidden/>
    <w:rsid w:val="008453D9"/>
    <w:rPr>
      <w:color w:val="808080"/>
    </w:rPr>
  </w:style>
  <w:style w:type="paragraph" w:styleId="DocumentMap">
    <w:name w:val="Document Map"/>
    <w:basedOn w:val="Normal"/>
    <w:semiHidden/>
    <w:rsid w:val="00BD08B4"/>
    <w:pPr>
      <w:shd w:val="clear" w:color="auto" w:fill="000080"/>
    </w:pPr>
    <w:rPr>
      <w:rFonts w:ascii="Tahoma" w:hAnsi="Tahoma" w:cs="Tahoma"/>
    </w:rPr>
  </w:style>
  <w:style w:type="character" w:styleId="Hyperlink">
    <w:name w:val="Hyperlink"/>
    <w:basedOn w:val="DefaultParagraphFont"/>
    <w:uiPriority w:val="99"/>
    <w:qFormat/>
    <w:rsid w:val="00441775"/>
    <w:rPr>
      <w:rFonts w:ascii="Calibri" w:hAnsi="Calibri"/>
      <w:color w:val="0000FF"/>
      <w:sz w:val="22"/>
      <w:u w:val="single"/>
    </w:rPr>
  </w:style>
  <w:style w:type="paragraph" w:styleId="BalloonText">
    <w:name w:val="Balloon Text"/>
    <w:basedOn w:val="Normal"/>
    <w:link w:val="BalloonTextChar"/>
    <w:uiPriority w:val="99"/>
    <w:semiHidden/>
    <w:unhideWhenUsed/>
    <w:rsid w:val="008453D9"/>
    <w:rPr>
      <w:rFonts w:ascii="Tahoma" w:hAnsi="Tahoma" w:cs="Tahoma"/>
      <w:sz w:val="16"/>
      <w:szCs w:val="16"/>
    </w:rPr>
  </w:style>
  <w:style w:type="character" w:customStyle="1" w:styleId="BalloonTextChar">
    <w:name w:val="Balloon Text Char"/>
    <w:basedOn w:val="DefaultParagraphFont"/>
    <w:link w:val="BalloonText"/>
    <w:uiPriority w:val="99"/>
    <w:semiHidden/>
    <w:rsid w:val="008453D9"/>
    <w:rPr>
      <w:rFonts w:ascii="Tahoma" w:hAnsi="Tahoma" w:cs="Tahoma"/>
      <w:sz w:val="16"/>
      <w:szCs w:val="16"/>
    </w:rPr>
  </w:style>
  <w:style w:type="paragraph" w:customStyle="1" w:styleId="PCANumberedlist">
    <w:name w:val="PCA Numbered list"/>
    <w:basedOn w:val="Normal"/>
    <w:link w:val="PCANumberedlistChar"/>
    <w:uiPriority w:val="14"/>
    <w:qFormat/>
    <w:rsid w:val="002C6AFB"/>
    <w:pPr>
      <w:numPr>
        <w:numId w:val="16"/>
      </w:numPr>
      <w:spacing w:after="60" w:line="280" w:lineRule="exact"/>
      <w:ind w:left="360"/>
    </w:pPr>
    <w:rPr>
      <w:szCs w:val="20"/>
    </w:rPr>
  </w:style>
  <w:style w:type="character" w:customStyle="1" w:styleId="PCANumberedlistChar">
    <w:name w:val="PCA Numbered list Char"/>
    <w:basedOn w:val="DefaultParagraphFont"/>
    <w:link w:val="PCANumberedlist"/>
    <w:uiPriority w:val="14"/>
    <w:rsid w:val="002C6AFB"/>
    <w:rPr>
      <w:rFonts w:ascii="Calibri" w:hAnsi="Calibri"/>
      <w:sz w:val="22"/>
    </w:rPr>
  </w:style>
  <w:style w:type="table" w:styleId="TableGrid">
    <w:name w:val="Table Grid"/>
    <w:basedOn w:val="TableNormal"/>
    <w:uiPriority w:val="59"/>
    <w:rsid w:val="00CE5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FF474A"/>
    <w:pPr>
      <w:keepLines/>
      <w:pBdr>
        <w:bottom w:val="none" w:sz="0" w:space="0" w:color="auto"/>
      </w:pBdr>
      <w:spacing w:before="480" w:after="0" w:line="276" w:lineRule="auto"/>
      <w:outlineLvl w:val="9"/>
    </w:pPr>
    <w:rPr>
      <w:rFonts w:ascii="Cambria" w:hAnsi="Cambria"/>
      <w:bCs/>
      <w:color w:val="365F91"/>
      <w:kern w:val="0"/>
      <w:sz w:val="28"/>
      <w:szCs w:val="28"/>
    </w:rPr>
  </w:style>
  <w:style w:type="paragraph" w:styleId="TOC1">
    <w:name w:val="toc 1"/>
    <w:basedOn w:val="Normal"/>
    <w:next w:val="Normal"/>
    <w:autoRedefine/>
    <w:uiPriority w:val="39"/>
    <w:rsid w:val="00236193"/>
    <w:pPr>
      <w:tabs>
        <w:tab w:val="right" w:leader="dot" w:pos="9350"/>
      </w:tabs>
      <w:spacing w:before="120"/>
    </w:pPr>
    <w:rPr>
      <w:b/>
      <w:noProof/>
    </w:rPr>
  </w:style>
  <w:style w:type="paragraph" w:styleId="TOC2">
    <w:name w:val="toc 2"/>
    <w:basedOn w:val="Normal"/>
    <w:next w:val="Normal"/>
    <w:autoRedefine/>
    <w:uiPriority w:val="39"/>
    <w:rsid w:val="00236193"/>
    <w:pPr>
      <w:tabs>
        <w:tab w:val="right" w:leader="dot" w:pos="9350"/>
      </w:tabs>
      <w:ind w:left="240"/>
    </w:pPr>
    <w:rPr>
      <w:noProof/>
      <w:sz w:val="21"/>
      <w:szCs w:val="21"/>
    </w:rPr>
  </w:style>
  <w:style w:type="paragraph" w:customStyle="1" w:styleId="H4">
    <w:name w:val="H 4"/>
    <w:aliases w:val="in-line"/>
    <w:basedOn w:val="Heading4"/>
    <w:link w:val="H4Char"/>
    <w:uiPriority w:val="7"/>
    <w:rsid w:val="00C164D3"/>
    <w:rPr>
      <w:szCs w:val="22"/>
    </w:rPr>
  </w:style>
  <w:style w:type="character" w:customStyle="1" w:styleId="H4Char">
    <w:name w:val="H 4 Char"/>
    <w:aliases w:val="in-line Char"/>
    <w:basedOn w:val="Heading4Char"/>
    <w:link w:val="H4"/>
    <w:uiPriority w:val="7"/>
    <w:rsid w:val="00441775"/>
    <w:rPr>
      <w:rFonts w:ascii="Calibri" w:hAnsi="Calibri"/>
      <w:b/>
      <w:sz w:val="22"/>
      <w:szCs w:val="22"/>
    </w:rPr>
  </w:style>
  <w:style w:type="paragraph" w:customStyle="1" w:styleId="PCAFigureTabletitle">
    <w:name w:val="PCA Figure/Table title"/>
    <w:basedOn w:val="Normal"/>
    <w:link w:val="PCAFigureTabletitleChar"/>
    <w:uiPriority w:val="9"/>
    <w:qFormat/>
    <w:rsid w:val="00441775"/>
    <w:pPr>
      <w:spacing w:before="120"/>
    </w:pPr>
    <w:rPr>
      <w:rFonts w:eastAsia="Arial Unicode MS"/>
      <w:b/>
      <w:sz w:val="20"/>
      <w:szCs w:val="18"/>
    </w:rPr>
  </w:style>
  <w:style w:type="character" w:customStyle="1" w:styleId="PCAFigureTabletitleChar">
    <w:name w:val="PCA Figure/Table title Char"/>
    <w:basedOn w:val="DefaultParagraphFont"/>
    <w:link w:val="PCAFigureTabletitle"/>
    <w:uiPriority w:val="9"/>
    <w:rsid w:val="00441775"/>
    <w:rPr>
      <w:rFonts w:ascii="Calibri" w:eastAsia="Arial Unicode MS" w:hAnsi="Calibri"/>
      <w:b/>
      <w:szCs w:val="18"/>
    </w:rPr>
  </w:style>
  <w:style w:type="paragraph" w:styleId="Caption">
    <w:name w:val="caption"/>
    <w:basedOn w:val="Normal"/>
    <w:next w:val="Normal"/>
    <w:uiPriority w:val="35"/>
    <w:semiHidden/>
    <w:unhideWhenUsed/>
    <w:qFormat/>
    <w:rsid w:val="0020257C"/>
    <w:pPr>
      <w:spacing w:after="200"/>
    </w:pPr>
    <w:rPr>
      <w:b/>
      <w:bCs/>
      <w:color w:val="4F81BD" w:themeColor="accent1"/>
      <w:sz w:val="18"/>
      <w:szCs w:val="18"/>
    </w:rPr>
  </w:style>
  <w:style w:type="paragraph" w:customStyle="1" w:styleId="PCABulletLevel1">
    <w:name w:val="PCA Bullet Level 1"/>
    <w:basedOn w:val="Normal"/>
    <w:qFormat/>
    <w:rsid w:val="00D4340D"/>
    <w:pPr>
      <w:numPr>
        <w:numId w:val="12"/>
      </w:numPr>
      <w:spacing w:after="60"/>
    </w:pPr>
    <w:rPr>
      <w:rFonts w:eastAsia="Calibri" w:cstheme="minorBidi"/>
      <w:szCs w:val="22"/>
    </w:rPr>
  </w:style>
  <w:style w:type="paragraph" w:customStyle="1" w:styleId="PCABulletLevel2">
    <w:name w:val="PCA Bullet Level 2"/>
    <w:basedOn w:val="PCABulletLevel1"/>
    <w:qFormat/>
    <w:rsid w:val="00D4340D"/>
    <w:pPr>
      <w:numPr>
        <w:numId w:val="9"/>
      </w:numPr>
      <w:ind w:left="1080"/>
    </w:pPr>
  </w:style>
  <w:style w:type="paragraph" w:styleId="Header">
    <w:name w:val="header"/>
    <w:basedOn w:val="Normal"/>
    <w:link w:val="HeaderChar"/>
    <w:uiPriority w:val="99"/>
    <w:unhideWhenUsed/>
    <w:rsid w:val="00271704"/>
    <w:pPr>
      <w:tabs>
        <w:tab w:val="center" w:pos="4680"/>
        <w:tab w:val="right" w:pos="9360"/>
      </w:tabs>
      <w:spacing w:after="0"/>
    </w:pPr>
  </w:style>
  <w:style w:type="character" w:customStyle="1" w:styleId="HeaderChar">
    <w:name w:val="Header Char"/>
    <w:basedOn w:val="DefaultParagraphFont"/>
    <w:link w:val="Header"/>
    <w:uiPriority w:val="99"/>
    <w:rsid w:val="00271704"/>
    <w:rPr>
      <w:rFonts w:ascii="Calibri" w:hAnsi="Calibri"/>
      <w:sz w:val="22"/>
      <w:szCs w:val="24"/>
    </w:rPr>
  </w:style>
  <w:style w:type="paragraph" w:customStyle="1" w:styleId="PCAfooterinsidecvr">
    <w:name w:val="PCA footer inside cvr"/>
    <w:basedOn w:val="Normal"/>
    <w:link w:val="PCAfooterinsidecvrChar"/>
    <w:uiPriority w:val="17"/>
    <w:rsid w:val="00271704"/>
    <w:rPr>
      <w:sz w:val="21"/>
    </w:rPr>
  </w:style>
  <w:style w:type="character" w:customStyle="1" w:styleId="PCAfooterinsidecvrChar">
    <w:name w:val="PCA footer inside cvr Char"/>
    <w:basedOn w:val="DefaultParagraphFont"/>
    <w:link w:val="PCAfooterinsidecvr"/>
    <w:uiPriority w:val="17"/>
    <w:rsid w:val="00271704"/>
    <w:rPr>
      <w:rFonts w:ascii="Calibri" w:hAnsi="Calibri"/>
      <w:sz w:val="21"/>
      <w:szCs w:val="24"/>
    </w:rPr>
  </w:style>
  <w:style w:type="character" w:customStyle="1" w:styleId="Heading1Char">
    <w:name w:val="Heading 1 Char"/>
    <w:basedOn w:val="DefaultParagraphFont"/>
    <w:link w:val="Heading1"/>
    <w:uiPriority w:val="9"/>
    <w:rsid w:val="00866CD3"/>
    <w:rPr>
      <w:rFonts w:ascii="Calibri" w:hAnsi="Calibri"/>
      <w:b/>
      <w:color w:val="404040"/>
      <w:kern w:val="28"/>
      <w:sz w:val="44"/>
      <w:szCs w:val="44"/>
    </w:rPr>
  </w:style>
  <w:style w:type="paragraph" w:customStyle="1" w:styleId="PCAReportHeading1">
    <w:name w:val="PCA Report Heading 1"/>
    <w:basedOn w:val="Heading1"/>
    <w:uiPriority w:val="21"/>
    <w:qFormat/>
    <w:rsid w:val="00C20DF9"/>
    <w:rPr>
      <w:color w:val="auto"/>
    </w:rPr>
  </w:style>
  <w:style w:type="paragraph" w:customStyle="1" w:styleId="PCAReportHeading1noline">
    <w:name w:val="PCA Report Heading 1 no line"/>
    <w:basedOn w:val="PCAReportHeading1"/>
    <w:uiPriority w:val="21"/>
    <w:qFormat/>
    <w:rsid w:val="00C20DF9"/>
    <w:pPr>
      <w:pBdr>
        <w:bottom w:val="none" w:sz="0" w:space="0" w:color="auto"/>
      </w:pBdr>
    </w:pPr>
  </w:style>
  <w:style w:type="paragraph" w:customStyle="1" w:styleId="PCAReportHeading2">
    <w:name w:val="PCA Report Heading 2"/>
    <w:basedOn w:val="Heading2"/>
    <w:uiPriority w:val="21"/>
    <w:qFormat/>
    <w:rsid w:val="00C20DF9"/>
  </w:style>
  <w:style w:type="paragraph" w:customStyle="1" w:styleId="PCAReportHeading3">
    <w:name w:val="PCA Report Heading 3"/>
    <w:basedOn w:val="Heading3"/>
    <w:uiPriority w:val="21"/>
    <w:qFormat/>
    <w:rsid w:val="00C20DF9"/>
  </w:style>
  <w:style w:type="paragraph" w:customStyle="1" w:styleId="PCAReportHeading4in-line">
    <w:name w:val="PCA Report Heading 4 in-line"/>
    <w:basedOn w:val="Normal"/>
    <w:uiPriority w:val="21"/>
    <w:qFormat/>
    <w:rsid w:val="009071D7"/>
    <w:pPr>
      <w:spacing w:before="160"/>
    </w:pPr>
    <w:rPr>
      <w:b/>
      <w:sz w:val="24"/>
    </w:rPr>
  </w:style>
  <w:style w:type="paragraph" w:customStyle="1" w:styleId="PCAReportHeading4standalone">
    <w:name w:val="PCA Report Heading 4 standalone"/>
    <w:basedOn w:val="Heading4"/>
    <w:uiPriority w:val="21"/>
    <w:qFormat/>
    <w:rsid w:val="00C20DF9"/>
    <w:pPr>
      <w:spacing w:after="0"/>
    </w:pPr>
    <w:rPr>
      <w:sz w:val="24"/>
    </w:rPr>
  </w:style>
  <w:style w:type="paragraph" w:customStyle="1" w:styleId="PCABodyText">
    <w:name w:val="PCA Body Text"/>
    <w:basedOn w:val="Normal"/>
    <w:link w:val="PCABodyTextChar"/>
    <w:qFormat/>
    <w:rsid w:val="00C20DF9"/>
    <w:pPr>
      <w:spacing w:line="280" w:lineRule="exact"/>
    </w:pPr>
    <w:rPr>
      <w:rFonts w:asciiTheme="minorHAnsi" w:hAnsiTheme="minorHAnsi"/>
      <w:szCs w:val="20"/>
    </w:rPr>
  </w:style>
  <w:style w:type="character" w:customStyle="1" w:styleId="PCABodyTextChar">
    <w:name w:val="PCA Body Text Char"/>
    <w:basedOn w:val="DefaultParagraphFont"/>
    <w:link w:val="PCABodyText"/>
    <w:rsid w:val="00C20DF9"/>
    <w:rPr>
      <w:rFonts w:asciiTheme="minorHAnsi" w:hAnsiTheme="minorHAnsi"/>
      <w:sz w:val="22"/>
    </w:rPr>
  </w:style>
  <w:style w:type="paragraph" w:customStyle="1" w:styleId="PCAReportHeading5">
    <w:name w:val="PCA Report Heading 5"/>
    <w:basedOn w:val="Normal"/>
    <w:qFormat/>
    <w:rsid w:val="00D05F0E"/>
    <w:pPr>
      <w:spacing w:before="120" w:after="0" w:line="280" w:lineRule="exact"/>
    </w:pPr>
    <w:rPr>
      <w:rFonts w:asciiTheme="minorHAnsi" w:hAnsiTheme="minorHAnsi"/>
      <w:b/>
      <w:szCs w:val="20"/>
    </w:rPr>
  </w:style>
  <w:style w:type="paragraph" w:customStyle="1" w:styleId="PCAReportHeading6">
    <w:name w:val="PCA Report Heading 6"/>
    <w:basedOn w:val="Normal"/>
    <w:qFormat/>
    <w:rsid w:val="00D05F0E"/>
    <w:pPr>
      <w:spacing w:before="120" w:after="60" w:line="280" w:lineRule="exact"/>
    </w:pPr>
    <w:rPr>
      <w:rFonts w:eastAsiaTheme="minorEastAsia" w:cstheme="minorBidi"/>
      <w:b/>
      <w:i/>
      <w:szCs w:val="22"/>
    </w:rPr>
  </w:style>
  <w:style w:type="paragraph" w:customStyle="1" w:styleId="p1">
    <w:name w:val="p1"/>
    <w:basedOn w:val="Normal"/>
    <w:rsid w:val="005E5981"/>
    <w:pPr>
      <w:spacing w:after="0"/>
    </w:pPr>
    <w:rPr>
      <w:rFonts w:eastAsia="Calibri"/>
      <w:sz w:val="43"/>
      <w:szCs w:val="43"/>
    </w:rPr>
  </w:style>
  <w:style w:type="paragraph" w:customStyle="1" w:styleId="p2">
    <w:name w:val="p2"/>
    <w:basedOn w:val="Normal"/>
    <w:rsid w:val="005E5981"/>
    <w:pPr>
      <w:spacing w:after="0"/>
    </w:pPr>
    <w:rPr>
      <w:rFonts w:eastAsia="Calibri"/>
      <w:sz w:val="19"/>
      <w:szCs w:val="19"/>
    </w:rPr>
  </w:style>
  <w:style w:type="paragraph" w:customStyle="1" w:styleId="p3">
    <w:name w:val="p3"/>
    <w:basedOn w:val="Normal"/>
    <w:rsid w:val="005E5981"/>
    <w:pPr>
      <w:spacing w:after="0"/>
    </w:pPr>
    <w:rPr>
      <w:rFonts w:eastAsia="Calibri"/>
      <w:sz w:val="19"/>
      <w:szCs w:val="19"/>
    </w:rPr>
  </w:style>
  <w:style w:type="character" w:customStyle="1" w:styleId="apple-converted-space">
    <w:name w:val="apple-converted-space"/>
    <w:basedOn w:val="DefaultParagraphFont"/>
    <w:rsid w:val="005E5981"/>
  </w:style>
  <w:style w:type="character" w:customStyle="1" w:styleId="FooterChar">
    <w:name w:val="Footer Char"/>
    <w:basedOn w:val="DefaultParagraphFont"/>
    <w:link w:val="Footer"/>
    <w:uiPriority w:val="99"/>
    <w:rsid w:val="009A33E8"/>
    <w:rPr>
      <w:rFonts w:asciiTheme="minorHAnsi" w:hAnsiTheme="minorHAnsi"/>
      <w:sz w:val="16"/>
      <w:szCs w:val="16"/>
    </w:rPr>
  </w:style>
  <w:style w:type="paragraph" w:styleId="FootnoteText">
    <w:name w:val="footnote text"/>
    <w:basedOn w:val="Normal"/>
    <w:link w:val="FootnoteTextChar"/>
    <w:uiPriority w:val="99"/>
    <w:semiHidden/>
    <w:unhideWhenUsed/>
    <w:rsid w:val="00F7141A"/>
    <w:pPr>
      <w:spacing w:after="0"/>
    </w:pPr>
    <w:rPr>
      <w:rFonts w:eastAsiaTheme="minorHAnsi" w:cs="Arial"/>
      <w:sz w:val="20"/>
      <w:szCs w:val="20"/>
    </w:rPr>
  </w:style>
  <w:style w:type="character" w:customStyle="1" w:styleId="FootnoteTextChar">
    <w:name w:val="Footnote Text Char"/>
    <w:basedOn w:val="DefaultParagraphFont"/>
    <w:link w:val="FootnoteText"/>
    <w:uiPriority w:val="99"/>
    <w:semiHidden/>
    <w:rsid w:val="00F7141A"/>
    <w:rPr>
      <w:rFonts w:ascii="Calibri" w:eastAsiaTheme="minorHAnsi" w:hAnsi="Calibri" w:cs="Arial"/>
    </w:rPr>
  </w:style>
  <w:style w:type="character" w:styleId="FootnoteReference">
    <w:name w:val="footnote reference"/>
    <w:basedOn w:val="DefaultParagraphFont"/>
    <w:uiPriority w:val="99"/>
    <w:semiHidden/>
    <w:unhideWhenUsed/>
    <w:rsid w:val="00F7141A"/>
    <w:rPr>
      <w:vertAlign w:val="superscript"/>
    </w:rPr>
  </w:style>
  <w:style w:type="table" w:customStyle="1" w:styleId="TableGrid2">
    <w:name w:val="Table Grid2"/>
    <w:basedOn w:val="TableNormal"/>
    <w:next w:val="TableGrid"/>
    <w:uiPriority w:val="39"/>
    <w:rsid w:val="00F7141A"/>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24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nr.state.mn.us/climate/summaries_and_publications/mega_rain_events.html"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mn.gov/admin/demography/data-by-topic/population-data/our-estimat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35FE3D4F18426EA8F61E9FEA25EB15"/>
        <w:category>
          <w:name w:val="General"/>
          <w:gallery w:val="placeholder"/>
        </w:category>
        <w:types>
          <w:type w:val="bbPlcHdr"/>
        </w:types>
        <w:behaviors>
          <w:behavior w:val="content"/>
        </w:behaviors>
        <w:guid w:val="{1A2B08B8-B573-4CEB-840B-2C86BEB7B6E5}"/>
      </w:docPartPr>
      <w:docPartBody>
        <w:p w:rsidR="00723F6E" w:rsidRDefault="0038395D" w:rsidP="0038395D">
          <w:pPr>
            <w:pStyle w:val="2F35FE3D4F18426EA8F61E9FEA25EB1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95D"/>
    <w:rsid w:val="00247913"/>
    <w:rsid w:val="0038395D"/>
    <w:rsid w:val="005F2ECB"/>
    <w:rsid w:val="00663E2D"/>
    <w:rsid w:val="00723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35FE3D4F18426EA8F61E9FEA25EB15">
    <w:name w:val="2F35FE3D4F18426EA8F61E9FEA25EB15"/>
    <w:rsid w:val="00383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5067-0B77-44E7-B450-ACF6A5BC6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1427</Words>
  <Characters>8136</Characters>
  <Application>Microsoft Office Word</Application>
  <DocSecurity>8</DocSecurity>
  <Lines>67</Lines>
  <Paragraphs>19</Paragraphs>
  <ScaleCrop>false</ScaleCrop>
  <HeadingPairs>
    <vt:vector size="2" baseType="variant">
      <vt:variant>
        <vt:lpstr>Title</vt:lpstr>
      </vt:variant>
      <vt:variant>
        <vt:i4>1</vt:i4>
      </vt:variant>
    </vt:vector>
  </HeadingPairs>
  <TitlesOfParts>
    <vt:vector size="1" baseType="lpstr">
      <vt:lpstr>Appendix B. External Factors Affecting Nutrients in Water</vt:lpstr>
    </vt:vector>
  </TitlesOfParts>
  <Manager>Barb Olafson</Manager>
  <Company>MPCA</Company>
  <LinksUpToDate>false</LinksUpToDate>
  <CharactersWithSpaces>9544</CharactersWithSpaces>
  <SharedDoc>false</SharedDoc>
  <HLinks>
    <vt:vector size="36" baseType="variant">
      <vt:variant>
        <vt:i4>3866748</vt:i4>
      </vt:variant>
      <vt:variant>
        <vt:i4>24</vt:i4>
      </vt:variant>
      <vt:variant>
        <vt:i4>0</vt:i4>
      </vt:variant>
      <vt:variant>
        <vt:i4>5</vt:i4>
      </vt:variant>
      <vt:variant>
        <vt:lpwstr>http://www.livinggreen.org/</vt:lpwstr>
      </vt:variant>
      <vt:variant>
        <vt:lpwstr/>
      </vt:variant>
      <vt:variant>
        <vt:i4>3866748</vt:i4>
      </vt:variant>
      <vt:variant>
        <vt:i4>21</vt:i4>
      </vt:variant>
      <vt:variant>
        <vt:i4>0</vt:i4>
      </vt:variant>
      <vt:variant>
        <vt:i4>5</vt:i4>
      </vt:variant>
      <vt:variant>
        <vt:lpwstr>http://www.livinggreen.org/</vt:lpwstr>
      </vt:variant>
      <vt:variant>
        <vt:lpwstr/>
      </vt:variant>
      <vt:variant>
        <vt:i4>1179702</vt:i4>
      </vt:variant>
      <vt:variant>
        <vt:i4>14</vt:i4>
      </vt:variant>
      <vt:variant>
        <vt:i4>0</vt:i4>
      </vt:variant>
      <vt:variant>
        <vt:i4>5</vt:i4>
      </vt:variant>
      <vt:variant>
        <vt:lpwstr/>
      </vt:variant>
      <vt:variant>
        <vt:lpwstr>_Toc244075742</vt:lpwstr>
      </vt:variant>
      <vt:variant>
        <vt:i4>1179702</vt:i4>
      </vt:variant>
      <vt:variant>
        <vt:i4>8</vt:i4>
      </vt:variant>
      <vt:variant>
        <vt:i4>0</vt:i4>
      </vt:variant>
      <vt:variant>
        <vt:i4>5</vt:i4>
      </vt:variant>
      <vt:variant>
        <vt:lpwstr/>
      </vt:variant>
      <vt:variant>
        <vt:lpwstr>_Toc244075741</vt:lpwstr>
      </vt:variant>
      <vt:variant>
        <vt:i4>1179702</vt:i4>
      </vt:variant>
      <vt:variant>
        <vt:i4>2</vt:i4>
      </vt:variant>
      <vt:variant>
        <vt:i4>0</vt:i4>
      </vt:variant>
      <vt:variant>
        <vt:i4>5</vt:i4>
      </vt:variant>
      <vt:variant>
        <vt:lpwstr/>
      </vt:variant>
      <vt:variant>
        <vt:lpwstr>_Toc244075740</vt:lpwstr>
      </vt:variant>
      <vt:variant>
        <vt:i4>8192040</vt:i4>
      </vt:variant>
      <vt:variant>
        <vt:i4>0</vt:i4>
      </vt:variant>
      <vt:variant>
        <vt:i4>0</vt:i4>
      </vt:variant>
      <vt:variant>
        <vt:i4>5</vt:i4>
      </vt:variant>
      <vt:variant>
        <vt:lpwstr>http://www.pca.state.mn.us/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External Factors Affecting Nutrients in Water</dc:title>
  <dc:subject>This report shows the progress Minnesota has made since 2014 to implement the State's Nutrient Reduction Strategy.</dc:subject>
  <dc:creator>Minnesota Pollution Control Agency - Dave Wall  (Barb Olafson)</dc:creator>
  <cp:keywords>Minnesota Pollution Control Agency,MPCA,water quality,surface,Nitrogen, Nitrate, Phosphorus, Nutrient, Rivers Nutrient Reduction Strategy,wq-s1-84e</cp:keywords>
  <cp:lastModifiedBy>Olafson, Barbara (MPCA)</cp:lastModifiedBy>
  <cp:revision>8</cp:revision>
  <cp:lastPrinted>2020-08-31T16:08:00Z</cp:lastPrinted>
  <dcterms:created xsi:type="dcterms:W3CDTF">2020-08-31T12:25:00Z</dcterms:created>
  <dcterms:modified xsi:type="dcterms:W3CDTF">2020-09-02T19:52:00Z</dcterms:modified>
  <cp:category>water quality/surface</cp:category>
</cp:coreProperties>
</file>