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87"/>
        <w:gridCol w:w="6873"/>
      </w:tblGrid>
      <w:tr w:rsidR="003E6E96" w:rsidRPr="00B5499A" w14:paraId="075E00B5" w14:textId="77777777" w:rsidTr="00BE6957">
        <w:trPr>
          <w:trHeight w:val="891"/>
        </w:trPr>
        <w:tc>
          <w:tcPr>
            <w:tcW w:w="2487" w:type="dxa"/>
            <w:tcBorders>
              <w:top w:val="nil"/>
              <w:left w:val="nil"/>
              <w:bottom w:val="single" w:sz="2" w:space="0" w:color="A6A6A6"/>
              <w:right w:val="single" w:sz="2" w:space="0" w:color="A6A6A6"/>
            </w:tcBorders>
            <w:hideMark/>
          </w:tcPr>
          <w:p w14:paraId="43EB1601" w14:textId="77777777" w:rsidR="00C9583F" w:rsidRPr="00B5499A" w:rsidRDefault="003E6E96" w:rsidP="00D614B9">
            <w:pPr>
              <w:pStyle w:val="Heading1"/>
              <w:rPr>
                <w:rFonts w:eastAsia="Calibri"/>
              </w:rPr>
            </w:pPr>
            <w:r>
              <w:rPr>
                <w:rFonts w:eastAsia="Calibri"/>
                <w:noProof/>
              </w:rPr>
              <w:drawing>
                <wp:anchor distT="0" distB="0" distL="114300" distR="114300" simplePos="0" relativeHeight="251658240" behindDoc="0" locked="0" layoutInCell="1" allowOverlap="1" wp14:anchorId="5D4B68B2" wp14:editId="53235E7D">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873" w:type="dxa"/>
            <w:tcBorders>
              <w:top w:val="nil"/>
              <w:left w:val="single" w:sz="2" w:space="0" w:color="A6A6A6"/>
              <w:bottom w:val="single" w:sz="2" w:space="0" w:color="A6A6A6"/>
              <w:right w:val="nil"/>
            </w:tcBorders>
            <w:vAlign w:val="center"/>
            <w:hideMark/>
          </w:tcPr>
          <w:p w14:paraId="3148196A" w14:textId="77777777" w:rsidR="00BE6957" w:rsidRDefault="00BE6957" w:rsidP="00BE6957">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Pr>
                <w:rFonts w:ascii="Calibri" w:eastAsia="Calibri" w:hAnsi="Calibri"/>
                <w:b/>
                <w:noProof/>
                <w:color w:val="808080"/>
                <w:sz w:val="44"/>
                <w:szCs w:val="44"/>
              </w:rPr>
              <w:t>4.24 PCB Wastes</w:t>
            </w:r>
          </w:p>
          <w:p w14:paraId="2A57DA4A" w14:textId="3603C642" w:rsidR="00A54B45" w:rsidRPr="00A54B45" w:rsidRDefault="00BE6957" w:rsidP="00BE6957">
            <w:pPr>
              <w:ind w:left="288"/>
              <w:rPr>
                <w:rFonts w:ascii="Calibri" w:eastAsia="Calibri" w:hAnsi="Calibri"/>
                <w:b/>
                <w:noProof/>
                <w:color w:val="808080"/>
                <w:sz w:val="32"/>
                <w:szCs w:val="32"/>
              </w:rPr>
            </w:pPr>
            <w:r w:rsidRPr="0023020F">
              <w:rPr>
                <w:rFonts w:ascii="Calibri" w:eastAsia="Calibri" w:hAnsi="Calibri"/>
                <w:bCs/>
                <w:noProof/>
                <w:color w:val="808080"/>
                <w:sz w:val="32"/>
                <w:szCs w:val="32"/>
              </w:rPr>
              <w:t>General Guidance for HHW Programs</w:t>
            </w:r>
          </w:p>
        </w:tc>
      </w:tr>
    </w:tbl>
    <w:p w14:paraId="61492F9E" w14:textId="77777777" w:rsidR="00BE6957" w:rsidRPr="0023020F" w:rsidRDefault="00BE6957" w:rsidP="00BE6957">
      <w:pPr>
        <w:spacing w:after="120"/>
        <w:ind w:left="360"/>
        <w:rPr>
          <w:rFonts w:ascii="Calibri Light" w:eastAsia="Calibri" w:hAnsi="Calibri Light" w:cs="Calibri Light"/>
          <w:i/>
          <w:iCs/>
        </w:rPr>
      </w:pPr>
      <w:r w:rsidRPr="0023020F">
        <w:rPr>
          <w:rFonts w:ascii="Calibri Light" w:eastAsia="Calibri" w:hAnsi="Calibri Light" w:cs="Calibri Light"/>
          <w:i/>
          <w:iCs/>
          <w:sz w:val="22"/>
          <w:szCs w:val="22"/>
        </w:rPr>
        <w:t>Note: This guidance document is for informational purposes only and outlines basic employer requirements. The MPCA makes no guarantee that this document satisfies the requirements of its users ensuring compliance. It is the sole responsibility of your specific HHW Program employer(s) to determine if OSHA</w:t>
      </w:r>
      <w:r>
        <w:rPr>
          <w:rFonts w:ascii="Calibri Light" w:eastAsia="Calibri" w:hAnsi="Calibri Light" w:cs="Calibri Light"/>
          <w:i/>
          <w:iCs/>
          <w:sz w:val="22"/>
          <w:szCs w:val="22"/>
        </w:rPr>
        <w:t>, DOT and RCRA</w:t>
      </w:r>
      <w:r w:rsidRPr="0023020F">
        <w:rPr>
          <w:rFonts w:ascii="Calibri Light" w:eastAsia="Calibri" w:hAnsi="Calibri Light" w:cs="Calibri Light"/>
          <w:i/>
          <w:iCs/>
          <w:sz w:val="22"/>
          <w:szCs w:val="22"/>
        </w:rPr>
        <w:t xml:space="preserve"> requirements have been met. </w:t>
      </w:r>
      <w:bookmarkStart w:id="0" w:name="OLE_LINK1"/>
    </w:p>
    <w:bookmarkEnd w:id="0"/>
    <w:p w14:paraId="3C4DDF98" w14:textId="3F3B93E9" w:rsidR="00556EEB" w:rsidRPr="00E55BFE" w:rsidRDefault="00556EEB" w:rsidP="00D614B9">
      <w:pPr>
        <w:pStyle w:val="Heading1"/>
        <w:tabs>
          <w:tab w:val="left" w:pos="360"/>
          <w:tab w:val="left" w:pos="720"/>
        </w:tabs>
        <w:spacing w:before="24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618B2AE6" w14:textId="1974A6A3" w:rsidR="00BE6957" w:rsidRDefault="00BE6957" w:rsidP="0070696F">
      <w:pPr>
        <w:pStyle w:val="BodyText"/>
        <w:widowControl w:val="0"/>
        <w:tabs>
          <w:tab w:val="left" w:pos="360"/>
        </w:tabs>
        <w:adjustRightInd w:val="0"/>
        <w:spacing w:before="0" w:after="60" w:line="276" w:lineRule="auto"/>
        <w:ind w:left="360"/>
        <w:textAlignment w:val="baseline"/>
        <w:rPr>
          <w:rFonts w:ascii="Calibri Light" w:hAnsi="Calibri Light" w:cs="Calibri Light"/>
          <w:sz w:val="22"/>
          <w:szCs w:val="22"/>
        </w:rPr>
      </w:pPr>
      <w:bookmarkStart w:id="1" w:name="_Hlk212098399"/>
      <w:r w:rsidRPr="00625B3C">
        <w:rPr>
          <w:rFonts w:ascii="Calibri Light" w:hAnsi="Calibri Light" w:cs="Calibri Light"/>
          <w:sz w:val="22"/>
          <w:szCs w:val="22"/>
        </w:rPr>
        <w:t>This Household Hazardous Waste (HHW) program accepts many types of</w:t>
      </w:r>
      <w:r>
        <w:rPr>
          <w:rFonts w:ascii="Calibri Light" w:hAnsi="Calibri Light" w:cs="Calibri Light"/>
          <w:sz w:val="22"/>
          <w:szCs w:val="22"/>
        </w:rPr>
        <w:t xml:space="preserve"> hazardous </w:t>
      </w:r>
      <w:r w:rsidRPr="00625B3C">
        <w:rPr>
          <w:rFonts w:ascii="Calibri Light" w:hAnsi="Calibri Light" w:cs="Calibri Light"/>
          <w:sz w:val="22"/>
          <w:szCs w:val="22"/>
        </w:rPr>
        <w:t>materials; this Standard Operating Procedure provides guidance to ensure proper acceptance, processing and shipment requirements are followed for safe and efficient acceptance of</w:t>
      </w:r>
      <w:r>
        <w:rPr>
          <w:rFonts w:ascii="Calibri Light" w:hAnsi="Calibri Light" w:cs="Calibri Light"/>
          <w:sz w:val="22"/>
          <w:szCs w:val="22"/>
        </w:rPr>
        <w:t xml:space="preserve"> </w:t>
      </w:r>
      <w:hyperlink r:id="rId9" w:history="1">
        <w:r w:rsidRPr="00C60996">
          <w:rPr>
            <w:rStyle w:val="Hyperlink"/>
            <w:rFonts w:ascii="Calibri Light" w:hAnsi="Calibri Light" w:cs="Calibri Light"/>
            <w:color w:val="215E99"/>
            <w:sz w:val="22"/>
            <w:szCs w:val="22"/>
          </w:rPr>
          <w:t>polychlorinated biphenyls</w:t>
        </w:r>
      </w:hyperlink>
      <w:r w:rsidRPr="00C60996">
        <w:rPr>
          <w:rFonts w:ascii="Calibri Light" w:hAnsi="Calibri Light" w:cs="Calibri Light"/>
          <w:sz w:val="22"/>
          <w:szCs w:val="22"/>
        </w:rPr>
        <w:t xml:space="preserve"> (PCBs)</w:t>
      </w:r>
      <w:r>
        <w:rPr>
          <w:rFonts w:ascii="Calibri Light" w:hAnsi="Calibri Light" w:cs="Calibri Light"/>
          <w:sz w:val="22"/>
          <w:szCs w:val="22"/>
        </w:rPr>
        <w:t xml:space="preserve"> waste types.</w:t>
      </w:r>
      <w:bookmarkEnd w:id="1"/>
    </w:p>
    <w:p w14:paraId="579C5FD9" w14:textId="266F202C" w:rsidR="00BE6957" w:rsidRPr="00625B3C" w:rsidRDefault="00BE6957" w:rsidP="00D614B9">
      <w:pPr>
        <w:pStyle w:val="Heading1"/>
        <w:tabs>
          <w:tab w:val="left" w:pos="360"/>
          <w:tab w:val="left" w:pos="720"/>
        </w:tabs>
        <w:spacing w:before="240"/>
        <w:rPr>
          <w:rFonts w:ascii="Calibri Light" w:hAnsi="Calibri Light" w:cs="Calibri Light"/>
          <w:sz w:val="22"/>
          <w:szCs w:val="22"/>
        </w:rPr>
      </w:pPr>
      <w:bookmarkStart w:id="2" w:name="1960.12(a)"/>
      <w:bookmarkEnd w:id="2"/>
      <w:r w:rsidRPr="00625B3C">
        <w:rPr>
          <w:rFonts w:ascii="Calibri Light" w:hAnsi="Calibri Light" w:cs="Calibri Light"/>
          <w:sz w:val="22"/>
          <w:szCs w:val="22"/>
        </w:rPr>
        <w:t>2.</w:t>
      </w:r>
      <w:r w:rsidRPr="00625B3C">
        <w:rPr>
          <w:rFonts w:ascii="Calibri Light" w:hAnsi="Calibri Light" w:cs="Calibri Light"/>
          <w:sz w:val="22"/>
          <w:szCs w:val="22"/>
        </w:rPr>
        <w:tab/>
        <w:t xml:space="preserve">Training requirements </w:t>
      </w:r>
    </w:p>
    <w:p w14:paraId="2515EAD0" w14:textId="77777777" w:rsidR="00BE6957" w:rsidRPr="00625B3C" w:rsidRDefault="00BE6957" w:rsidP="0070696F">
      <w:pPr>
        <w:widowControl w:val="0"/>
        <w:adjustRightInd w:val="0"/>
        <w:spacing w:before="60" w:line="276" w:lineRule="auto"/>
        <w:ind w:left="907" w:hanging="547"/>
        <w:textAlignment w:val="baseline"/>
        <w:rPr>
          <w:rStyle w:val="BodyTextChar"/>
          <w:rFonts w:ascii="Calibri Light" w:hAnsi="Calibri Light" w:cs="Calibri Light"/>
          <w:sz w:val="22"/>
          <w:szCs w:val="22"/>
        </w:rPr>
      </w:pPr>
      <w:r w:rsidRPr="00625B3C">
        <w:rPr>
          <w:rStyle w:val="Headinglevel2"/>
          <w:rFonts w:ascii="Calibri Light" w:hAnsi="Calibri Light" w:cs="Calibri Light"/>
        </w:rPr>
        <w:t>2.1</w:t>
      </w:r>
      <w:r w:rsidRPr="00625B3C">
        <w:rPr>
          <w:rStyle w:val="Headinglevel2"/>
          <w:rFonts w:ascii="Calibri Light" w:hAnsi="Calibri Light" w:cs="Calibri Light"/>
        </w:rPr>
        <w:tab/>
        <w:t xml:space="preserve">Determine designated staff. </w:t>
      </w:r>
      <w:r w:rsidRPr="00625B3C">
        <w:rPr>
          <w:rStyle w:val="BodyTextChar"/>
          <w:rFonts w:ascii="Calibri Light" w:hAnsi="Calibri Light" w:cs="Calibri Light"/>
          <w:sz w:val="22"/>
          <w:szCs w:val="22"/>
        </w:rPr>
        <w:t>The dedicated Program staff to ensure compliance and</w:t>
      </w:r>
      <w:r w:rsidRPr="00625B3C">
        <w:rPr>
          <w:rFonts w:ascii="Calibri Light" w:hAnsi="Calibri Light" w:cs="Calibri Light"/>
          <w:sz w:val="22"/>
          <w:szCs w:val="22"/>
        </w:rPr>
        <w:t xml:space="preserve"> proper </w:t>
      </w:r>
      <w:r>
        <w:rPr>
          <w:rFonts w:ascii="Calibri Light" w:hAnsi="Calibri Light" w:cs="Calibri Light"/>
          <w:color w:val="000000"/>
          <w:sz w:val="22"/>
          <w:szCs w:val="22"/>
        </w:rPr>
        <w:t xml:space="preserve">household hazardous </w:t>
      </w:r>
      <w:r w:rsidRPr="00625B3C">
        <w:rPr>
          <w:rFonts w:ascii="Calibri Light" w:hAnsi="Calibri Light" w:cs="Calibri Light"/>
          <w:color w:val="000000"/>
          <w:sz w:val="22"/>
          <w:szCs w:val="22"/>
        </w:rPr>
        <w:t>waste</w:t>
      </w:r>
      <w:r>
        <w:rPr>
          <w:rFonts w:ascii="Calibri Light" w:hAnsi="Calibri Light" w:cs="Calibri Light"/>
          <w:color w:val="000000"/>
          <w:sz w:val="22"/>
          <w:szCs w:val="22"/>
        </w:rPr>
        <w:t xml:space="preserve"> (HHW) </w:t>
      </w:r>
      <w:r w:rsidRPr="00625B3C">
        <w:rPr>
          <w:rFonts w:ascii="Calibri Light" w:hAnsi="Calibri Light" w:cs="Calibri Light"/>
          <w:sz w:val="22"/>
          <w:szCs w:val="22"/>
        </w:rPr>
        <w:t xml:space="preserve">processing </w:t>
      </w:r>
      <w:r w:rsidRPr="00625B3C">
        <w:rPr>
          <w:rStyle w:val="BodyTextChar"/>
          <w:rFonts w:ascii="Calibri Light" w:hAnsi="Calibri Light" w:cs="Calibri Light"/>
          <w:sz w:val="22"/>
          <w:szCs w:val="22"/>
        </w:rPr>
        <w:t>is the [</w:t>
      </w:r>
      <w:r w:rsidRPr="00625B3C">
        <w:rPr>
          <w:rFonts w:ascii="Calibri Light" w:hAnsi="Calibri Light" w:cs="Calibri Light"/>
          <w:sz w:val="22"/>
          <w:szCs w:val="22"/>
          <w:highlight w:val="yellow"/>
        </w:rPr>
        <w:t>Facility</w:t>
      </w:r>
      <w:r w:rsidRPr="00625B3C">
        <w:rPr>
          <w:rStyle w:val="BodyTextChar"/>
          <w:rFonts w:ascii="Calibri Light" w:hAnsi="Calibri Light" w:cs="Calibri Light"/>
          <w:sz w:val="22"/>
          <w:szCs w:val="22"/>
          <w:highlight w:val="yellow"/>
        </w:rPr>
        <w:t xml:space="preserve"> Manager</w:t>
      </w:r>
      <w:r w:rsidRPr="00625B3C">
        <w:rPr>
          <w:rStyle w:val="BodyTextChar"/>
          <w:rFonts w:ascii="Calibri Light" w:hAnsi="Calibri Light" w:cs="Calibri Light"/>
          <w:sz w:val="22"/>
          <w:szCs w:val="22"/>
        </w:rPr>
        <w:t>]. This person shall ensure facility staff successfully completes all required training.</w:t>
      </w:r>
    </w:p>
    <w:p w14:paraId="54DE0561" w14:textId="380759F1" w:rsidR="00BE6957" w:rsidRPr="00625B3C" w:rsidRDefault="00BE6957" w:rsidP="0070696F">
      <w:pPr>
        <w:widowControl w:val="0"/>
        <w:adjustRightInd w:val="0"/>
        <w:spacing w:before="60" w:line="276" w:lineRule="auto"/>
        <w:ind w:left="907" w:hanging="547"/>
        <w:textAlignment w:val="baseline"/>
        <w:rPr>
          <w:rStyle w:val="BodyTextChar"/>
          <w:rFonts w:ascii="Calibri Light" w:hAnsi="Calibri Light" w:cs="Calibri Light"/>
          <w:sz w:val="22"/>
          <w:szCs w:val="22"/>
        </w:rPr>
      </w:pPr>
      <w:r w:rsidRPr="00625B3C">
        <w:rPr>
          <w:rStyle w:val="Headinglevel2"/>
          <w:rFonts w:ascii="Calibri Light" w:hAnsi="Calibri Light" w:cs="Calibri Light"/>
        </w:rPr>
        <w:t>2.2</w:t>
      </w:r>
      <w:r w:rsidRPr="00625B3C">
        <w:rPr>
          <w:rStyle w:val="Headinglevel2"/>
          <w:rFonts w:ascii="Calibri Light" w:hAnsi="Calibri Light" w:cs="Calibri Light"/>
        </w:rPr>
        <w:tab/>
        <w:t xml:space="preserve">Include site-specific information. </w:t>
      </w:r>
      <w:r w:rsidRPr="00625B3C">
        <w:rPr>
          <w:rStyle w:val="BodyTextChar"/>
          <w:rFonts w:ascii="Calibri Light" w:hAnsi="Calibri Light" w:cs="Calibri Light"/>
          <w:sz w:val="22"/>
          <w:szCs w:val="22"/>
        </w:rPr>
        <w:t>Training shall be specific to program needs and job expectations.</w:t>
      </w:r>
    </w:p>
    <w:p w14:paraId="64812F94" w14:textId="0D125250" w:rsidR="00BE6957" w:rsidRPr="00BE6957" w:rsidRDefault="00BE6957" w:rsidP="0070696F">
      <w:pPr>
        <w:widowControl w:val="0"/>
        <w:adjustRightInd w:val="0"/>
        <w:spacing w:before="60" w:line="276" w:lineRule="auto"/>
        <w:ind w:left="907" w:hanging="547"/>
        <w:textAlignment w:val="baseline"/>
        <w:rPr>
          <w:rStyle w:val="Headinglevel2"/>
          <w:rFonts w:ascii="Calibri Light" w:hAnsi="Calibri Light"/>
          <w:b w:val="0"/>
          <w:bCs w:val="0"/>
        </w:rPr>
      </w:pPr>
      <w:r w:rsidRPr="00BE6957">
        <w:rPr>
          <w:rStyle w:val="Headinglevel2"/>
          <w:rFonts w:ascii="Calibri Light" w:hAnsi="Calibri Light"/>
        </w:rPr>
        <w:t xml:space="preserve">2.3 </w:t>
      </w:r>
      <w:r w:rsidRPr="00BE6957">
        <w:rPr>
          <w:rStyle w:val="Headinglevel2"/>
          <w:rFonts w:ascii="Calibri Light" w:hAnsi="Calibri Light"/>
        </w:rPr>
        <w:tab/>
        <w:t xml:space="preserve">Safety requirements. </w:t>
      </w:r>
      <w:r w:rsidRPr="00BE6957">
        <w:rPr>
          <w:rStyle w:val="Headinglevel2"/>
          <w:rFonts w:ascii="Calibri Light" w:hAnsi="Calibri Light"/>
          <w:b w:val="0"/>
          <w:bCs w:val="0"/>
        </w:rPr>
        <w:t>Ensure PPE use for staff processing HHW to minimally include nitrile gloves, Tyvek or chemically resistant apron</w:t>
      </w:r>
      <w:r w:rsidR="005C6B29">
        <w:rPr>
          <w:rStyle w:val="Headinglevel2"/>
          <w:rFonts w:ascii="Calibri Light" w:hAnsi="Calibri Light"/>
          <w:b w:val="0"/>
          <w:bCs w:val="0"/>
        </w:rPr>
        <w:t>,</w:t>
      </w:r>
      <w:r w:rsidRPr="00BE6957">
        <w:rPr>
          <w:rStyle w:val="Headinglevel2"/>
          <w:rFonts w:ascii="Calibri Light" w:hAnsi="Calibri Light"/>
          <w:b w:val="0"/>
          <w:bCs w:val="0"/>
        </w:rPr>
        <w:t xml:space="preserve"> sleeves and eye protection.</w:t>
      </w:r>
    </w:p>
    <w:p w14:paraId="4B0B3CB2" w14:textId="77777777" w:rsidR="00BE6957" w:rsidRPr="00E23886" w:rsidRDefault="00BE6957" w:rsidP="00D614B9">
      <w:pPr>
        <w:pStyle w:val="Heading1"/>
        <w:tabs>
          <w:tab w:val="left" w:pos="360"/>
          <w:tab w:val="left" w:pos="720"/>
        </w:tabs>
        <w:spacing w:before="240"/>
        <w:rPr>
          <w:rFonts w:ascii="Calibri Light" w:hAnsi="Calibri Light" w:cs="Calibri Light"/>
          <w:sz w:val="22"/>
          <w:szCs w:val="22"/>
        </w:rPr>
      </w:pPr>
      <w:r w:rsidRPr="00E23886">
        <w:rPr>
          <w:rFonts w:ascii="Calibri Light" w:hAnsi="Calibri Light" w:cs="Calibri Light"/>
          <w:sz w:val="22"/>
          <w:szCs w:val="22"/>
        </w:rPr>
        <w:t>3.</w:t>
      </w:r>
      <w:r w:rsidRPr="00E23886">
        <w:rPr>
          <w:rFonts w:ascii="Calibri Light" w:hAnsi="Calibri Light" w:cs="Calibri Light"/>
          <w:sz w:val="22"/>
          <w:szCs w:val="22"/>
        </w:rPr>
        <w:tab/>
      </w:r>
      <w:r>
        <w:rPr>
          <w:rFonts w:ascii="Calibri Light" w:hAnsi="Calibri Light" w:cs="Calibri Light"/>
          <w:sz w:val="22"/>
          <w:szCs w:val="22"/>
        </w:rPr>
        <w:t>Processing PCBs</w:t>
      </w:r>
    </w:p>
    <w:p w14:paraId="09246324" w14:textId="6120BDCC" w:rsidR="00BE6957" w:rsidRPr="00C60996" w:rsidRDefault="00BE6957" w:rsidP="0070696F">
      <w:pPr>
        <w:pStyle w:val="BodyText"/>
        <w:widowControl w:val="0"/>
        <w:numPr>
          <w:ilvl w:val="0"/>
          <w:numId w:val="10"/>
        </w:numPr>
        <w:tabs>
          <w:tab w:val="left" w:pos="360"/>
        </w:tabs>
        <w:adjustRightInd w:val="0"/>
        <w:spacing w:before="0" w:after="0" w:line="276" w:lineRule="auto"/>
        <w:ind w:left="720"/>
        <w:textAlignment w:val="baseline"/>
        <w:rPr>
          <w:rFonts w:ascii="Calibri Light" w:hAnsi="Calibri Light" w:cs="Calibri Light"/>
          <w:sz w:val="22"/>
          <w:szCs w:val="22"/>
        </w:rPr>
      </w:pPr>
      <w:r w:rsidRPr="00C60996">
        <w:rPr>
          <w:rFonts w:ascii="Calibri Light" w:hAnsi="Calibri Light" w:cs="Calibri Light"/>
          <w:sz w:val="22"/>
          <w:szCs w:val="22"/>
        </w:rPr>
        <w:t>Fluorescent light bulbs are frequently accompanied by</w:t>
      </w:r>
      <w:r>
        <w:rPr>
          <w:rFonts w:ascii="Calibri Light" w:hAnsi="Calibri Light" w:cs="Calibri Light"/>
          <w:sz w:val="22"/>
          <w:szCs w:val="22"/>
        </w:rPr>
        <w:t xml:space="preserve"> </w:t>
      </w:r>
      <w:hyperlink r:id="rId10" w:history="1">
        <w:r>
          <w:rPr>
            <w:rStyle w:val="Hyperlink"/>
            <w:rFonts w:ascii="Calibri Light" w:hAnsi="Calibri Light" w:cs="Calibri Light"/>
            <w:color w:val="215E99"/>
            <w:sz w:val="22"/>
            <w:szCs w:val="22"/>
          </w:rPr>
          <w:t>ballasts</w:t>
        </w:r>
      </w:hyperlink>
      <w:r w:rsidRPr="00C60996">
        <w:rPr>
          <w:rFonts w:ascii="Calibri Light" w:hAnsi="Calibri Light" w:cs="Calibri Light"/>
          <w:sz w:val="22"/>
          <w:szCs w:val="22"/>
        </w:rPr>
        <w:t>, which serve as electrical insulators</w:t>
      </w:r>
      <w:r>
        <w:rPr>
          <w:rFonts w:ascii="Calibri Light" w:hAnsi="Calibri Light" w:cs="Calibri Light"/>
          <w:sz w:val="22"/>
          <w:szCs w:val="22"/>
        </w:rPr>
        <w:t xml:space="preserve"> and often</w:t>
      </w:r>
      <w:r w:rsidRPr="00C60996">
        <w:rPr>
          <w:rFonts w:ascii="Calibri Light" w:hAnsi="Calibri Light" w:cs="Calibri Light"/>
          <w:sz w:val="22"/>
          <w:szCs w:val="22"/>
        </w:rPr>
        <w:t xml:space="preserve"> contain</w:t>
      </w:r>
      <w:r>
        <w:rPr>
          <w:rFonts w:ascii="Calibri Light" w:hAnsi="Calibri Light" w:cs="Calibri Light"/>
          <w:sz w:val="22"/>
          <w:szCs w:val="22"/>
        </w:rPr>
        <w:t xml:space="preserve"> </w:t>
      </w:r>
      <w:r w:rsidRPr="00C60996">
        <w:rPr>
          <w:rFonts w:ascii="Calibri Light" w:hAnsi="Calibri Light" w:cs="Calibri Light"/>
          <w:sz w:val="22"/>
          <w:szCs w:val="22"/>
        </w:rPr>
        <w:t>PCBs, a hazardous waste. PCBs can also be found in motor start capacitors</w:t>
      </w:r>
      <w:r>
        <w:rPr>
          <w:rFonts w:ascii="Calibri Light" w:hAnsi="Calibri Light" w:cs="Calibri Light"/>
          <w:sz w:val="22"/>
          <w:szCs w:val="22"/>
        </w:rPr>
        <w:t xml:space="preserve"> used </w:t>
      </w:r>
      <w:r w:rsidRPr="00C60996">
        <w:rPr>
          <w:rFonts w:ascii="Calibri Light" w:hAnsi="Calibri Light" w:cs="Calibri Light"/>
          <w:sz w:val="22"/>
          <w:szCs w:val="22"/>
        </w:rPr>
        <w:t>in household appliances and industrial equipment.</w:t>
      </w:r>
    </w:p>
    <w:p w14:paraId="53FC13D3" w14:textId="77777777" w:rsidR="00BE6957" w:rsidRPr="00C60996" w:rsidRDefault="00BE6957" w:rsidP="0070696F">
      <w:pPr>
        <w:pStyle w:val="BodyText"/>
        <w:widowControl w:val="0"/>
        <w:numPr>
          <w:ilvl w:val="0"/>
          <w:numId w:val="10"/>
        </w:numPr>
        <w:tabs>
          <w:tab w:val="left" w:pos="360"/>
        </w:tabs>
        <w:adjustRightInd w:val="0"/>
        <w:spacing w:before="0" w:after="0" w:line="276" w:lineRule="auto"/>
        <w:ind w:left="720"/>
        <w:textAlignment w:val="baseline"/>
        <w:rPr>
          <w:rFonts w:ascii="Calibri Light" w:hAnsi="Calibri Light" w:cs="Calibri Light"/>
          <w:sz w:val="22"/>
          <w:szCs w:val="22"/>
        </w:rPr>
      </w:pPr>
      <w:r w:rsidRPr="00C60996">
        <w:rPr>
          <w:rFonts w:ascii="Calibri Light" w:hAnsi="Calibri Light" w:cs="Calibri Light"/>
          <w:sz w:val="22"/>
          <w:szCs w:val="22"/>
        </w:rPr>
        <w:t>Unless explicitly labeled with the phrase “No PCBs,” all ballasts must be assumed to contain PCBs. Non-PCB ballasts may be either recycled or disposed of with regular solid waste, in accordance with applicable regulations.</w:t>
      </w:r>
    </w:p>
    <w:p w14:paraId="089164E4" w14:textId="77777777" w:rsidR="00BE6957" w:rsidRPr="00C60996" w:rsidRDefault="00BE6957" w:rsidP="0070696F">
      <w:pPr>
        <w:pStyle w:val="BodyText"/>
        <w:widowControl w:val="0"/>
        <w:numPr>
          <w:ilvl w:val="0"/>
          <w:numId w:val="10"/>
        </w:numPr>
        <w:tabs>
          <w:tab w:val="left" w:pos="360"/>
        </w:tabs>
        <w:adjustRightInd w:val="0"/>
        <w:spacing w:before="0" w:after="0" w:line="276" w:lineRule="auto"/>
        <w:ind w:left="720"/>
        <w:textAlignment w:val="baseline"/>
        <w:rPr>
          <w:rFonts w:ascii="Calibri Light" w:hAnsi="Calibri Light" w:cs="Calibri Light"/>
          <w:sz w:val="22"/>
          <w:szCs w:val="22"/>
        </w:rPr>
      </w:pPr>
      <w:r w:rsidRPr="00C60996">
        <w:rPr>
          <w:rFonts w:ascii="Calibri Light" w:hAnsi="Calibri Light" w:cs="Calibri Light"/>
          <w:sz w:val="22"/>
          <w:szCs w:val="22"/>
        </w:rPr>
        <w:t xml:space="preserve">A hazardous waste manifest is required for the transport of </w:t>
      </w:r>
      <w:r>
        <w:rPr>
          <w:rFonts w:ascii="Calibri Light" w:hAnsi="Calibri Light" w:cs="Calibri Light"/>
          <w:sz w:val="22"/>
          <w:szCs w:val="22"/>
        </w:rPr>
        <w:t>PCB</w:t>
      </w:r>
      <w:r w:rsidRPr="00C60996">
        <w:rPr>
          <w:rFonts w:ascii="Calibri Light" w:hAnsi="Calibri Light" w:cs="Calibri Light"/>
          <w:sz w:val="22"/>
          <w:szCs w:val="22"/>
        </w:rPr>
        <w:t xml:space="preserve"> ballasts, as they are presumed to contain PCBs in concentrations exceeding 50 parts per million (ppm). A shipping paper is not an acceptable substitute for a manifest when </w:t>
      </w:r>
      <w:r>
        <w:rPr>
          <w:rFonts w:ascii="Calibri Light" w:hAnsi="Calibri Light" w:cs="Calibri Light"/>
          <w:sz w:val="22"/>
          <w:szCs w:val="22"/>
        </w:rPr>
        <w:t>transporting</w:t>
      </w:r>
      <w:r w:rsidRPr="00C60996">
        <w:rPr>
          <w:rFonts w:ascii="Calibri Light" w:hAnsi="Calibri Light" w:cs="Calibri Light"/>
          <w:sz w:val="22"/>
          <w:szCs w:val="22"/>
        </w:rPr>
        <w:t xml:space="preserve"> PCB waste.</w:t>
      </w:r>
    </w:p>
    <w:p w14:paraId="291805B8" w14:textId="1EE2318F" w:rsidR="00BE6957" w:rsidRPr="00D614B9" w:rsidRDefault="00BE6957" w:rsidP="0070696F">
      <w:pPr>
        <w:pStyle w:val="BodyText"/>
        <w:widowControl w:val="0"/>
        <w:numPr>
          <w:ilvl w:val="0"/>
          <w:numId w:val="10"/>
        </w:numPr>
        <w:tabs>
          <w:tab w:val="left" w:pos="360"/>
        </w:tabs>
        <w:adjustRightInd w:val="0"/>
        <w:spacing w:before="0" w:after="0" w:line="276" w:lineRule="auto"/>
        <w:ind w:left="720"/>
        <w:textAlignment w:val="baseline"/>
        <w:rPr>
          <w:rStyle w:val="BodyText2Char"/>
          <w:rFonts w:asciiTheme="majorHAnsi" w:hAnsiTheme="majorHAnsi" w:cstheme="majorHAnsi"/>
          <w:sz w:val="22"/>
          <w:szCs w:val="22"/>
        </w:rPr>
      </w:pPr>
      <w:r w:rsidRPr="00D614B9">
        <w:rPr>
          <w:rFonts w:ascii="Calibri Light" w:hAnsi="Calibri Light" w:cs="Calibri Light"/>
          <w:sz w:val="22"/>
          <w:szCs w:val="22"/>
        </w:rPr>
        <w:t>PCB-containing ballasts—both leaking and non-leaking—must be stored in separate, properly labeled containers. Each container must include adequate absorbent material to contain any potential leaks and must be kept securely sealed. The standard container used is a 55-gallon drum should be filled no more than ¾ of its capacity and must not exceed a total weight of 800 pounds.</w:t>
      </w:r>
    </w:p>
    <w:sectPr w:rsidR="00BE6957" w:rsidRPr="00D614B9" w:rsidSect="0020612C">
      <w:footerReference w:type="default" r:id="rId11"/>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D576" w14:textId="77777777" w:rsidR="002446A2" w:rsidRDefault="002446A2">
      <w:r>
        <w:separator/>
      </w:r>
    </w:p>
  </w:endnote>
  <w:endnote w:type="continuationSeparator" w:id="0">
    <w:p w14:paraId="1E9F30DE" w14:textId="77777777" w:rsidR="002446A2" w:rsidRDefault="0024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7E6E" w14:textId="0E2F9993"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 xml:space="preserve">HHW </w:t>
    </w:r>
    <w:r w:rsidR="0070696F" w:rsidRPr="0070696F">
      <w:rPr>
        <w:rFonts w:ascii="Calibri Light" w:hAnsi="Calibri Light" w:cs="Calibri Light"/>
        <w:bCs/>
        <w:iCs/>
        <w:sz w:val="18"/>
        <w:szCs w:val="18"/>
      </w:rPr>
      <w:t>SOP 4.24 PCB Wastes</w:t>
    </w:r>
    <w:r>
      <w:rPr>
        <w:rFonts w:ascii="Calibri Light" w:hAnsi="Calibri Light" w:cs="Calibri Light"/>
        <w:iCs/>
        <w:sz w:val="18"/>
        <w:szCs w:val="18"/>
      </w:rPr>
      <w:t xml:space="preserve"> </w:t>
    </w:r>
    <w:r>
      <w:rPr>
        <w:rFonts w:ascii="Calibri Light" w:hAnsi="Calibri Light" w:cs="Calibri Light"/>
        <w:iCs/>
        <w:sz w:val="18"/>
        <w:szCs w:val="18"/>
      </w:rPr>
      <w:tab/>
    </w:r>
    <w:r w:rsidR="0070696F">
      <w:rPr>
        <w:rFonts w:ascii="Calibri Light" w:hAnsi="Calibri Light" w:cs="Calibri Light"/>
        <w:iCs/>
        <w:sz w:val="18"/>
        <w:szCs w:val="18"/>
      </w:rPr>
      <w:t xml:space="preserve">October </w:t>
    </w:r>
    <w:r w:rsidR="005C6B29">
      <w:rPr>
        <w:rFonts w:ascii="Calibri Light" w:hAnsi="Calibri Light" w:cs="Calibri Light"/>
        <w:iCs/>
        <w:sz w:val="18"/>
        <w:szCs w:val="18"/>
      </w:rPr>
      <w:t>2025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70696F">
      <w:rPr>
        <w:rFonts w:ascii="Calibri Light" w:hAnsi="Calibri Light" w:cs="Calibri Light"/>
        <w:sz w:val="18"/>
        <w:szCs w:val="18"/>
      </w:rPr>
      <w:t>4-24</w:t>
    </w:r>
  </w:p>
  <w:p w14:paraId="0C5F05C6"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D4D7" w14:textId="77777777" w:rsidR="002446A2" w:rsidRDefault="002446A2">
      <w:r>
        <w:separator/>
      </w:r>
    </w:p>
  </w:footnote>
  <w:footnote w:type="continuationSeparator" w:id="0">
    <w:p w14:paraId="6BCC1E7A" w14:textId="77777777" w:rsidR="002446A2" w:rsidRDefault="0024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2"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4"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5"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51EA4EAC"/>
    <w:multiLevelType w:val="hybridMultilevel"/>
    <w:tmpl w:val="BA000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4"/>
  </w:num>
  <w:num w:numId="2" w16cid:durableId="821434402">
    <w:abstractNumId w:val="0"/>
  </w:num>
  <w:num w:numId="3" w16cid:durableId="270094992">
    <w:abstractNumId w:val="3"/>
  </w:num>
  <w:num w:numId="4" w16cid:durableId="560406482">
    <w:abstractNumId w:val="6"/>
  </w:num>
  <w:num w:numId="5" w16cid:durableId="2134013816">
    <w:abstractNumId w:val="1"/>
  </w:num>
  <w:num w:numId="6" w16cid:durableId="195241025">
    <w:abstractNumId w:val="2"/>
  </w:num>
  <w:num w:numId="7" w16cid:durableId="114761922">
    <w:abstractNumId w:val="7"/>
  </w:num>
  <w:num w:numId="8" w16cid:durableId="1096168710">
    <w:abstractNumId w:val="5"/>
  </w:num>
  <w:num w:numId="9" w16cid:durableId="1624461946">
    <w:abstractNumId w:val="9"/>
  </w:num>
  <w:num w:numId="10" w16cid:durableId="58418819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57"/>
    <w:rsid w:val="0000442F"/>
    <w:rsid w:val="00035F36"/>
    <w:rsid w:val="00055E16"/>
    <w:rsid w:val="0007395F"/>
    <w:rsid w:val="000D2548"/>
    <w:rsid w:val="000D376D"/>
    <w:rsid w:val="000D46B4"/>
    <w:rsid w:val="000E41B9"/>
    <w:rsid w:val="000E68D6"/>
    <w:rsid w:val="00125903"/>
    <w:rsid w:val="00143B38"/>
    <w:rsid w:val="00146D50"/>
    <w:rsid w:val="001B78A9"/>
    <w:rsid w:val="001E0547"/>
    <w:rsid w:val="001E3818"/>
    <w:rsid w:val="0020612C"/>
    <w:rsid w:val="00227DEB"/>
    <w:rsid w:val="002446A2"/>
    <w:rsid w:val="002622CE"/>
    <w:rsid w:val="00274769"/>
    <w:rsid w:val="002C188D"/>
    <w:rsid w:val="002F6599"/>
    <w:rsid w:val="00360104"/>
    <w:rsid w:val="003A4E13"/>
    <w:rsid w:val="003E4145"/>
    <w:rsid w:val="003E6E96"/>
    <w:rsid w:val="003F6AAD"/>
    <w:rsid w:val="0040089E"/>
    <w:rsid w:val="00441CF6"/>
    <w:rsid w:val="0046738B"/>
    <w:rsid w:val="004762CC"/>
    <w:rsid w:val="00477CF2"/>
    <w:rsid w:val="004C2A6A"/>
    <w:rsid w:val="004D7D89"/>
    <w:rsid w:val="004F688C"/>
    <w:rsid w:val="00501E00"/>
    <w:rsid w:val="00521A58"/>
    <w:rsid w:val="005331A9"/>
    <w:rsid w:val="00545A15"/>
    <w:rsid w:val="00550470"/>
    <w:rsid w:val="00556EEB"/>
    <w:rsid w:val="00574768"/>
    <w:rsid w:val="005B4B24"/>
    <w:rsid w:val="005C6B29"/>
    <w:rsid w:val="00615161"/>
    <w:rsid w:val="0061567E"/>
    <w:rsid w:val="006240BF"/>
    <w:rsid w:val="00646449"/>
    <w:rsid w:val="006A7D52"/>
    <w:rsid w:val="006B792D"/>
    <w:rsid w:val="006C2B3A"/>
    <w:rsid w:val="006C4998"/>
    <w:rsid w:val="006E238C"/>
    <w:rsid w:val="006F16C9"/>
    <w:rsid w:val="0070696F"/>
    <w:rsid w:val="007623E1"/>
    <w:rsid w:val="007D7432"/>
    <w:rsid w:val="00800D6B"/>
    <w:rsid w:val="00820377"/>
    <w:rsid w:val="008215EA"/>
    <w:rsid w:val="00844AAF"/>
    <w:rsid w:val="00871406"/>
    <w:rsid w:val="008A5F69"/>
    <w:rsid w:val="008B0FB5"/>
    <w:rsid w:val="008B1923"/>
    <w:rsid w:val="008D269C"/>
    <w:rsid w:val="008D7C42"/>
    <w:rsid w:val="008F69FD"/>
    <w:rsid w:val="00927AB1"/>
    <w:rsid w:val="00932291"/>
    <w:rsid w:val="009439BF"/>
    <w:rsid w:val="00991AA3"/>
    <w:rsid w:val="009B0111"/>
    <w:rsid w:val="009E352A"/>
    <w:rsid w:val="00A14CB7"/>
    <w:rsid w:val="00A45D24"/>
    <w:rsid w:val="00A50891"/>
    <w:rsid w:val="00A54B45"/>
    <w:rsid w:val="00A66029"/>
    <w:rsid w:val="00A77EAF"/>
    <w:rsid w:val="00AA4C5A"/>
    <w:rsid w:val="00AA5282"/>
    <w:rsid w:val="00AC0A74"/>
    <w:rsid w:val="00AC5594"/>
    <w:rsid w:val="00AC7452"/>
    <w:rsid w:val="00AD2477"/>
    <w:rsid w:val="00AD3851"/>
    <w:rsid w:val="00AE0ABD"/>
    <w:rsid w:val="00AF069F"/>
    <w:rsid w:val="00B0090C"/>
    <w:rsid w:val="00B47171"/>
    <w:rsid w:val="00B57E1E"/>
    <w:rsid w:val="00B96231"/>
    <w:rsid w:val="00BC331B"/>
    <w:rsid w:val="00BE6957"/>
    <w:rsid w:val="00BF062A"/>
    <w:rsid w:val="00BF5805"/>
    <w:rsid w:val="00C13911"/>
    <w:rsid w:val="00C52A57"/>
    <w:rsid w:val="00C54FB8"/>
    <w:rsid w:val="00C9583F"/>
    <w:rsid w:val="00CD739A"/>
    <w:rsid w:val="00CD7974"/>
    <w:rsid w:val="00CE374A"/>
    <w:rsid w:val="00D009B8"/>
    <w:rsid w:val="00D0661A"/>
    <w:rsid w:val="00D239A2"/>
    <w:rsid w:val="00D37746"/>
    <w:rsid w:val="00D46598"/>
    <w:rsid w:val="00D47D25"/>
    <w:rsid w:val="00D614B9"/>
    <w:rsid w:val="00D85D10"/>
    <w:rsid w:val="00DC3EA8"/>
    <w:rsid w:val="00DD108D"/>
    <w:rsid w:val="00E0738D"/>
    <w:rsid w:val="00E166C3"/>
    <w:rsid w:val="00E4006A"/>
    <w:rsid w:val="00E55BFE"/>
    <w:rsid w:val="00E808AF"/>
    <w:rsid w:val="00E965BE"/>
    <w:rsid w:val="00EA4675"/>
    <w:rsid w:val="00F04BAD"/>
    <w:rsid w:val="00F40075"/>
    <w:rsid w:val="00F42D1F"/>
    <w:rsid w:val="00F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22593"/>
  <w15:chartTrackingRefBased/>
  <w15:docId w15:val="{A1D75EE1-1D33-4886-84D8-4F5E3899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sites/default/files/w-hw4-48f.pdf" TargetMode="External"/><Relationship Id="rId4" Type="http://schemas.openxmlformats.org/officeDocument/2006/relationships/settings" Target="settings.xml"/><Relationship Id="rId9" Type="http://schemas.openxmlformats.org/officeDocument/2006/relationships/hyperlink" Target="https://www.pca.state.mn.us/sites/default/files/w-hw4-48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2201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SOP PCB Wastes </vt:lpstr>
    </vt:vector>
  </TitlesOfParts>
  <Manager>Teresa Gilbertsonm, L. McLain</Manager>
  <Company>MPCA</Company>
  <LinksUpToDate>false</LinksUpToDate>
  <CharactersWithSpaces>2547</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PCB Wastes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(PST - L. McLain)</dc:creator>
  <cp:keywords>Minnesota Pollution Control Agency, MPCA, Household Hazardous Waste, HHW, Standard Operating Procedures, SOP, Waste, w-hhwsop4-24</cp:keywords>
  <dc:description/>
  <cp:lastModifiedBy>McLain, Lori (MPCA)</cp:lastModifiedBy>
  <cp:revision>2</cp:revision>
  <dcterms:created xsi:type="dcterms:W3CDTF">2025-10-28T18:28:00Z</dcterms:created>
  <dcterms:modified xsi:type="dcterms:W3CDTF">2025-10-28T18:28:00Z</dcterms:modified>
  <cp:category>Waste, Household Hazardous Waste, Standard Operation Procedures - Training</cp:category>
</cp:coreProperties>
</file>