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Borders>
          <w:bottom w:val="single" w:sz="2" w:space="0" w:color="A6A6A6"/>
          <w:insideV w:val="single" w:sz="2" w:space="0" w:color="A6A6A6"/>
        </w:tblBorders>
        <w:tblLook w:val="00A0" w:firstRow="1" w:lastRow="0" w:firstColumn="1" w:lastColumn="0" w:noHBand="0" w:noVBand="0"/>
      </w:tblPr>
      <w:tblGrid>
        <w:gridCol w:w="2482"/>
        <w:gridCol w:w="7238"/>
      </w:tblGrid>
      <w:tr w:rsidR="003E6E96" w:rsidRPr="00B5499A" w14:paraId="3AFE03BB" w14:textId="77777777" w:rsidTr="00EF2184">
        <w:trPr>
          <w:trHeight w:val="891"/>
        </w:trPr>
        <w:tc>
          <w:tcPr>
            <w:tcW w:w="2482" w:type="dxa"/>
            <w:tcBorders>
              <w:top w:val="nil"/>
              <w:left w:val="nil"/>
              <w:bottom w:val="single" w:sz="2" w:space="0" w:color="A6A6A6"/>
              <w:right w:val="single" w:sz="2" w:space="0" w:color="A6A6A6"/>
            </w:tcBorders>
            <w:hideMark/>
          </w:tcPr>
          <w:p w14:paraId="0EC9927C"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240" behindDoc="0" locked="0" layoutInCell="1" allowOverlap="1" wp14:anchorId="5EAE3637" wp14:editId="1EE8A876">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238" w:type="dxa"/>
            <w:tcBorders>
              <w:top w:val="nil"/>
              <w:left w:val="single" w:sz="2" w:space="0" w:color="A6A6A6"/>
              <w:bottom w:val="single" w:sz="2" w:space="0" w:color="A6A6A6"/>
              <w:right w:val="nil"/>
            </w:tcBorders>
            <w:vAlign w:val="center"/>
            <w:hideMark/>
          </w:tcPr>
          <w:p w14:paraId="7D03D57E" w14:textId="77777777" w:rsidR="00EF2184" w:rsidRPr="00C179EC" w:rsidRDefault="00EF2184" w:rsidP="00EF2184">
            <w:pPr>
              <w:pStyle w:val="PCATitle"/>
              <w:spacing w:before="0"/>
              <w:jc w:val="left"/>
              <w:rPr>
                <w:rFonts w:ascii="Calibri Light" w:hAnsi="Calibri Light" w:cs="Calibri Light"/>
                <w:noProof/>
                <w:color w:val="808080"/>
              </w:rPr>
            </w:pPr>
            <w:r w:rsidRPr="00C179EC">
              <w:rPr>
                <w:rFonts w:ascii="Calibri Light" w:hAnsi="Calibri Light" w:cs="Calibri Light"/>
                <w:noProof/>
                <w:color w:val="808080"/>
              </w:rPr>
              <w:t>4.01 Receiving Wastes</w:t>
            </w:r>
          </w:p>
          <w:p w14:paraId="7C8F3C82" w14:textId="77777777" w:rsidR="00EF2184" w:rsidRPr="000A2FFA" w:rsidRDefault="00EF2184" w:rsidP="00EF2184">
            <w:pPr>
              <w:ind w:left="20" w:right="-109" w:hanging="20"/>
              <w:rPr>
                <w:rFonts w:ascii="Calibri" w:eastAsia="Calibri" w:hAnsi="Calibri"/>
                <w:b/>
                <w:noProof/>
                <w:color w:val="808080"/>
                <w:sz w:val="32"/>
                <w:szCs w:val="32"/>
              </w:rPr>
            </w:pPr>
            <w:r w:rsidRPr="000A2FFA">
              <w:rPr>
                <w:rFonts w:ascii="Calibri Light" w:hAnsi="Calibri Light" w:cs="Calibri Light"/>
                <w:noProof/>
                <w:color w:val="808080"/>
                <w:sz w:val="32"/>
                <w:szCs w:val="32"/>
              </w:rPr>
              <w:t>General Information for HHW Programs</w:t>
            </w:r>
          </w:p>
          <w:p w14:paraId="66055AFD" w14:textId="38F24DCD" w:rsidR="00EF2184" w:rsidRPr="00A54B45" w:rsidRDefault="00EF2184" w:rsidP="00EF2184">
            <w:pPr>
              <w:ind w:left="288"/>
              <w:rPr>
                <w:rFonts w:ascii="Calibri" w:eastAsia="Calibri" w:hAnsi="Calibri"/>
                <w:b/>
                <w:noProof/>
                <w:color w:val="808080"/>
                <w:sz w:val="32"/>
                <w:szCs w:val="32"/>
              </w:rPr>
            </w:pPr>
          </w:p>
          <w:p w14:paraId="768081BC" w14:textId="63C2100A" w:rsidR="00A54B45" w:rsidRPr="00A54B45" w:rsidRDefault="00A54B45" w:rsidP="006C4998">
            <w:pPr>
              <w:ind w:left="288"/>
              <w:rPr>
                <w:rFonts w:ascii="Calibri" w:eastAsia="Calibri" w:hAnsi="Calibri"/>
                <w:b/>
                <w:noProof/>
                <w:color w:val="808080"/>
                <w:sz w:val="32"/>
                <w:szCs w:val="32"/>
              </w:rPr>
            </w:pPr>
          </w:p>
        </w:tc>
      </w:tr>
    </w:tbl>
    <w:p w14:paraId="2545508F" w14:textId="77777777" w:rsidR="00EF2184" w:rsidRPr="006B2E99" w:rsidRDefault="00EF2184" w:rsidP="00B905E6">
      <w:pPr>
        <w:pStyle w:val="Heading1"/>
        <w:tabs>
          <w:tab w:val="left" w:pos="360"/>
          <w:tab w:val="left" w:pos="720"/>
        </w:tabs>
        <w:spacing w:before="240" w:line="276" w:lineRule="auto"/>
        <w:rPr>
          <w:rFonts w:asciiTheme="majorHAnsi" w:hAnsiTheme="majorHAnsi" w:cstheme="majorHAnsi"/>
          <w:sz w:val="22"/>
          <w:szCs w:val="22"/>
        </w:rPr>
      </w:pPr>
      <w:r w:rsidRPr="006B2E99">
        <w:rPr>
          <w:rFonts w:ascii="Calibri Light" w:hAnsi="Calibri Light" w:cs="Calibri Light"/>
          <w:sz w:val="22"/>
          <w:szCs w:val="22"/>
        </w:rPr>
        <w:t>1.</w:t>
      </w:r>
      <w:r w:rsidRPr="006B2E99">
        <w:rPr>
          <w:rFonts w:asciiTheme="majorHAnsi" w:hAnsiTheme="majorHAnsi" w:cstheme="majorHAnsi"/>
          <w:sz w:val="22"/>
          <w:szCs w:val="22"/>
        </w:rPr>
        <w:tab/>
        <w:t xml:space="preserve">Safety </w:t>
      </w:r>
    </w:p>
    <w:p w14:paraId="6F3042F5" w14:textId="77777777" w:rsidR="00EF2184" w:rsidRPr="00506A15" w:rsidRDefault="00EF2184" w:rsidP="006B2E99">
      <w:pPr>
        <w:pStyle w:val="BodyText3"/>
        <w:spacing w:after="60" w:line="276" w:lineRule="auto"/>
        <w:ind w:left="0" w:firstLine="0"/>
        <w:rPr>
          <w:rFonts w:ascii="Calibri Light" w:hAnsi="Calibri Light" w:cs="Calibri Light"/>
          <w:bCs/>
          <w:sz w:val="22"/>
          <w:szCs w:val="22"/>
        </w:rPr>
      </w:pPr>
      <w:r w:rsidRPr="00506A15">
        <w:rPr>
          <w:rFonts w:ascii="Calibri Light" w:hAnsi="Calibri Light" w:cs="Calibri Light"/>
          <w:bCs/>
          <w:sz w:val="22"/>
          <w:szCs w:val="22"/>
        </w:rPr>
        <w:t xml:space="preserve">Staff assisting with HHW processing must be trained within six months of hire or be </w:t>
      </w:r>
      <w:proofErr w:type="gramStart"/>
      <w:r w:rsidRPr="00506A15">
        <w:rPr>
          <w:rFonts w:ascii="Calibri Light" w:hAnsi="Calibri Light" w:cs="Calibri Light"/>
          <w:bCs/>
          <w:sz w:val="22"/>
          <w:szCs w:val="22"/>
        </w:rPr>
        <w:t>supervised at all times</w:t>
      </w:r>
      <w:proofErr w:type="gramEnd"/>
      <w:r w:rsidRPr="00506A15">
        <w:rPr>
          <w:rFonts w:ascii="Calibri Light" w:hAnsi="Calibri Light" w:cs="Calibri Light"/>
          <w:bCs/>
          <w:sz w:val="22"/>
          <w:szCs w:val="22"/>
        </w:rPr>
        <w:t xml:space="preserve"> by trained, experienced personnel. Staff should remain alert to suspicious participant behaviors and receive dispute resolution training. Use experienced staff judgment when responding to unique conditions or situations.</w:t>
      </w:r>
    </w:p>
    <w:p w14:paraId="29859602" w14:textId="77777777" w:rsidR="00EF2184" w:rsidRPr="00C179EC" w:rsidRDefault="00EF2184" w:rsidP="006B2E99">
      <w:pPr>
        <w:tabs>
          <w:tab w:val="left" w:pos="360"/>
        </w:tabs>
        <w:spacing w:after="60" w:line="276" w:lineRule="auto"/>
        <w:ind w:left="360"/>
        <w:rPr>
          <w:rFonts w:ascii="Calibri Light" w:hAnsi="Calibri Light" w:cs="Calibri Light"/>
          <w:b/>
          <w:bCs/>
          <w:sz w:val="22"/>
          <w:szCs w:val="22"/>
        </w:rPr>
      </w:pPr>
      <w:r w:rsidRPr="00C179EC">
        <w:rPr>
          <w:rFonts w:ascii="Calibri Light" w:hAnsi="Calibri Light" w:cs="Calibri Light"/>
          <w:b/>
          <w:bCs/>
          <w:sz w:val="22"/>
          <w:szCs w:val="22"/>
        </w:rPr>
        <w:t xml:space="preserve">1.1 </w:t>
      </w:r>
      <w:r>
        <w:rPr>
          <w:rFonts w:ascii="Calibri Light" w:hAnsi="Calibri Light" w:cs="Calibri Light"/>
          <w:b/>
          <w:bCs/>
          <w:sz w:val="22"/>
          <w:szCs w:val="22"/>
        </w:rPr>
        <w:tab/>
      </w:r>
      <w:r w:rsidRPr="00C179EC">
        <w:rPr>
          <w:rFonts w:ascii="Calibri Light" w:hAnsi="Calibri Light" w:cs="Calibri Light"/>
          <w:b/>
          <w:bCs/>
          <w:sz w:val="22"/>
          <w:szCs w:val="22"/>
        </w:rPr>
        <w:t xml:space="preserve">PPE </w:t>
      </w:r>
    </w:p>
    <w:p w14:paraId="04D89EE0" w14:textId="77777777" w:rsidR="00EF2184" w:rsidRDefault="00EF2184" w:rsidP="006B2E99">
      <w:pPr>
        <w:pStyle w:val="BodyText"/>
        <w:spacing w:before="0" w:after="60" w:line="276" w:lineRule="auto"/>
        <w:ind w:left="720"/>
        <w:rPr>
          <w:rStyle w:val="BodyText2Char"/>
          <w:rFonts w:ascii="Calibri Light" w:hAnsi="Calibri Light" w:cs="Calibri Light"/>
          <w:bCs/>
          <w:sz w:val="22"/>
          <w:szCs w:val="22"/>
        </w:rPr>
      </w:pPr>
      <w:r w:rsidRPr="00CC7AAB">
        <w:rPr>
          <w:rStyle w:val="BodyText2Char"/>
          <w:rFonts w:ascii="Calibri Light" w:hAnsi="Calibri Light" w:cs="Calibri Light"/>
          <w:bCs/>
          <w:sz w:val="22"/>
          <w:szCs w:val="22"/>
        </w:rPr>
        <w:t xml:space="preserve">Use engineered solutions to </w:t>
      </w:r>
      <w:r>
        <w:rPr>
          <w:rStyle w:val="BodyText2Char"/>
          <w:rFonts w:ascii="Calibri Light" w:hAnsi="Calibri Light" w:cs="Calibri Light"/>
          <w:bCs/>
          <w:sz w:val="22"/>
          <w:szCs w:val="22"/>
        </w:rPr>
        <w:t>minimize</w:t>
      </w:r>
      <w:r w:rsidRPr="00CC7AAB">
        <w:rPr>
          <w:rStyle w:val="BodyText2Char"/>
          <w:rFonts w:ascii="Calibri Light" w:hAnsi="Calibri Light" w:cs="Calibri Light"/>
          <w:bCs/>
          <w:sz w:val="22"/>
          <w:szCs w:val="22"/>
        </w:rPr>
        <w:t xml:space="preserve"> environmental exposure risks. </w:t>
      </w:r>
      <w:r>
        <w:rPr>
          <w:rStyle w:val="BodyText2Char"/>
          <w:rFonts w:ascii="Calibri Light" w:hAnsi="Calibri Light" w:cs="Calibri Light"/>
          <w:bCs/>
          <w:sz w:val="22"/>
          <w:szCs w:val="22"/>
        </w:rPr>
        <w:t xml:space="preserve">Staff must strictly follow </w:t>
      </w:r>
      <w:r w:rsidRPr="00CC7AAB">
        <w:rPr>
          <w:rStyle w:val="BodyText2Char"/>
          <w:rFonts w:ascii="Calibri Light" w:hAnsi="Calibri Light" w:cs="Calibri Light"/>
          <w:bCs/>
          <w:sz w:val="22"/>
          <w:szCs w:val="22"/>
        </w:rPr>
        <w:t xml:space="preserve">donning </w:t>
      </w:r>
      <w:hyperlink r:id="rId9" w:history="1">
        <w:r w:rsidRPr="00C179EC">
          <w:rPr>
            <w:rStyle w:val="Hyperlink"/>
            <w:rFonts w:ascii="Calibri Light" w:hAnsi="Calibri Light" w:cs="Calibri Light"/>
            <w:bCs/>
            <w:color w:val="0000FF"/>
            <w:sz w:val="22"/>
            <w:szCs w:val="22"/>
          </w:rPr>
          <w:t>Personal Protective Equipment</w:t>
        </w:r>
        <w:r w:rsidRPr="00C179EC">
          <w:rPr>
            <w:rStyle w:val="Hyperlink"/>
            <w:rFonts w:ascii="Calibri Light" w:hAnsi="Calibri Light" w:cs="Calibri Light"/>
            <w:bCs/>
            <w:sz w:val="22"/>
            <w:szCs w:val="22"/>
          </w:rPr>
          <w:t xml:space="preserve"> </w:t>
        </w:r>
      </w:hyperlink>
      <w:r w:rsidRPr="00CC7AAB">
        <w:rPr>
          <w:rStyle w:val="BodyText2Char"/>
          <w:rFonts w:ascii="Calibri Light" w:hAnsi="Calibri Light" w:cs="Calibri Light"/>
          <w:bCs/>
          <w:sz w:val="22"/>
          <w:szCs w:val="22"/>
        </w:rPr>
        <w:t>(PPE)</w:t>
      </w:r>
      <w:r>
        <w:rPr>
          <w:rStyle w:val="BodyText2Char"/>
          <w:rFonts w:ascii="Calibri Light" w:hAnsi="Calibri Light" w:cs="Calibri Light"/>
          <w:bCs/>
          <w:sz w:val="22"/>
          <w:szCs w:val="22"/>
        </w:rPr>
        <w:t xml:space="preserve"> protocol,</w:t>
      </w:r>
      <w:r w:rsidRPr="00CC7AAB">
        <w:rPr>
          <w:rStyle w:val="BodyText2Char"/>
          <w:rFonts w:ascii="Calibri Light" w:hAnsi="Calibri Light" w:cs="Calibri Light"/>
          <w:bCs/>
          <w:sz w:val="22"/>
          <w:szCs w:val="22"/>
        </w:rPr>
        <w:t xml:space="preserve"> including:</w:t>
      </w:r>
    </w:p>
    <w:p w14:paraId="0553AA2E" w14:textId="50A261B7" w:rsidR="00EF2184" w:rsidRPr="000624A1" w:rsidRDefault="00CE4C12" w:rsidP="006B2E99">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S</w:t>
      </w:r>
      <w:r w:rsidR="00EF2184" w:rsidRPr="000624A1">
        <w:rPr>
          <w:rFonts w:asciiTheme="majorHAnsi" w:hAnsiTheme="majorHAnsi" w:cstheme="majorHAnsi"/>
        </w:rPr>
        <w:t>afety glasses with side shields or goggles</w:t>
      </w:r>
    </w:p>
    <w:p w14:paraId="75B46007" w14:textId="008B9D19" w:rsidR="00EF2184" w:rsidRPr="000624A1" w:rsidRDefault="00CE4C12" w:rsidP="006B2E99">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F</w:t>
      </w:r>
      <w:r w:rsidR="00EF2184" w:rsidRPr="000624A1">
        <w:rPr>
          <w:rFonts w:asciiTheme="majorHAnsi" w:hAnsiTheme="majorHAnsi" w:cstheme="majorHAnsi"/>
        </w:rPr>
        <w:t>ootwear protection</w:t>
      </w:r>
    </w:p>
    <w:p w14:paraId="23D4EB06" w14:textId="071685FA" w:rsidR="00EF2184" w:rsidRPr="000624A1" w:rsidRDefault="00CE4C12" w:rsidP="006B2E99">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P</w:t>
      </w:r>
      <w:r w:rsidR="00EF2184" w:rsidRPr="000624A1">
        <w:rPr>
          <w:rFonts w:asciiTheme="majorHAnsi" w:hAnsiTheme="majorHAnsi" w:cstheme="majorHAnsi"/>
        </w:rPr>
        <w:t>rotective gloves</w:t>
      </w:r>
    </w:p>
    <w:p w14:paraId="3A491009" w14:textId="061E7CA6" w:rsidR="00EF2184" w:rsidRPr="000624A1" w:rsidRDefault="00CE4C12" w:rsidP="006B2E99">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L</w:t>
      </w:r>
      <w:r w:rsidR="00EF2184" w:rsidRPr="000624A1">
        <w:rPr>
          <w:rFonts w:asciiTheme="majorHAnsi" w:hAnsiTheme="majorHAnsi" w:cstheme="majorHAnsi"/>
        </w:rPr>
        <w:t>ong-sleeved shirt and pants, or equivalent</w:t>
      </w:r>
    </w:p>
    <w:p w14:paraId="1FF8EE5B" w14:textId="5AA0AD74" w:rsidR="00EF2184" w:rsidRPr="000624A1" w:rsidRDefault="00CE4C12" w:rsidP="006B2E99">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P</w:t>
      </w:r>
      <w:r w:rsidR="00EF2184" w:rsidRPr="000624A1">
        <w:rPr>
          <w:rFonts w:asciiTheme="majorHAnsi" w:hAnsiTheme="majorHAnsi" w:cstheme="majorHAnsi"/>
        </w:rPr>
        <w:t>rotective Tyvek apron (or equivalent)</w:t>
      </w:r>
    </w:p>
    <w:p w14:paraId="2BDCDEAB" w14:textId="612B25B9" w:rsidR="00EF2184" w:rsidRPr="000624A1" w:rsidRDefault="00CE4C12" w:rsidP="006B2E99">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R</w:t>
      </w:r>
      <w:r w:rsidR="00EF2184" w:rsidRPr="000624A1">
        <w:rPr>
          <w:rFonts w:asciiTheme="majorHAnsi" w:hAnsiTheme="majorHAnsi" w:cstheme="majorHAnsi"/>
        </w:rPr>
        <w:t>eflective vests (for mobile events)</w:t>
      </w:r>
    </w:p>
    <w:p w14:paraId="53571625" w14:textId="77777777" w:rsidR="00EF2184" w:rsidRPr="00E3120B" w:rsidRDefault="00EF2184" w:rsidP="006B2E99">
      <w:pPr>
        <w:tabs>
          <w:tab w:val="left" w:pos="360"/>
        </w:tabs>
        <w:spacing w:after="60" w:line="276" w:lineRule="auto"/>
        <w:ind w:left="360"/>
        <w:rPr>
          <w:rFonts w:ascii="Calibri Light" w:hAnsi="Calibri Light" w:cs="Calibri Light"/>
          <w:b/>
          <w:bCs/>
          <w:sz w:val="22"/>
          <w:szCs w:val="22"/>
        </w:rPr>
      </w:pPr>
      <w:r>
        <w:rPr>
          <w:rFonts w:ascii="Calibri Light" w:hAnsi="Calibri Light" w:cs="Calibri Light"/>
          <w:b/>
          <w:bCs/>
          <w:sz w:val="22"/>
          <w:szCs w:val="22"/>
        </w:rPr>
        <w:t>1.2</w:t>
      </w:r>
      <w:r>
        <w:rPr>
          <w:rFonts w:ascii="Calibri Light" w:hAnsi="Calibri Light" w:cs="Calibri Light"/>
          <w:b/>
          <w:bCs/>
          <w:sz w:val="22"/>
          <w:szCs w:val="22"/>
        </w:rPr>
        <w:tab/>
      </w:r>
      <w:r w:rsidRPr="00E3120B">
        <w:rPr>
          <w:rFonts w:ascii="Calibri Light" w:hAnsi="Calibri Light" w:cs="Calibri Light"/>
          <w:b/>
          <w:bCs/>
          <w:sz w:val="22"/>
          <w:szCs w:val="22"/>
        </w:rPr>
        <w:t xml:space="preserve">Ergonomics </w:t>
      </w:r>
    </w:p>
    <w:p w14:paraId="4EF962FB" w14:textId="77777777" w:rsidR="00EF2184" w:rsidRPr="00A14E2C" w:rsidRDefault="00EF2184" w:rsidP="006B2E99">
      <w:pPr>
        <w:pStyle w:val="BodyText"/>
        <w:spacing w:before="0" w:after="60" w:line="276" w:lineRule="auto"/>
        <w:ind w:left="720"/>
        <w:rPr>
          <w:rStyle w:val="BodyText2Char"/>
          <w:rFonts w:ascii="Calibri Light" w:hAnsi="Calibri Light" w:cs="Calibri Light"/>
          <w:bCs/>
          <w:sz w:val="22"/>
          <w:szCs w:val="22"/>
        </w:rPr>
      </w:pPr>
      <w:r w:rsidRPr="00A14E2C">
        <w:rPr>
          <w:rStyle w:val="BodyText2Char"/>
          <w:rFonts w:ascii="Calibri Light" w:hAnsi="Calibri Light" w:cs="Calibri Light"/>
          <w:bCs/>
          <w:sz w:val="22"/>
          <w:szCs w:val="22"/>
        </w:rPr>
        <w:t>Use safe ergonomic practices during HHW handling, including:</w:t>
      </w:r>
    </w:p>
    <w:p w14:paraId="50571358" w14:textId="4F5325FD" w:rsidR="00EF2184" w:rsidRPr="008A203F" w:rsidRDefault="00CE4C12" w:rsidP="006B2E99">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A</w:t>
      </w:r>
      <w:r w:rsidR="00EF2184" w:rsidRPr="008A203F">
        <w:rPr>
          <w:rFonts w:asciiTheme="majorHAnsi" w:hAnsiTheme="majorHAnsi" w:cstheme="majorHAnsi"/>
        </w:rPr>
        <w:t>void bending and twisting when lifting materials from vehicles</w:t>
      </w:r>
    </w:p>
    <w:p w14:paraId="378E00D8" w14:textId="43E53772" w:rsidR="00EF2184" w:rsidRPr="008A203F" w:rsidRDefault="00CE4C12" w:rsidP="006B2E99">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E</w:t>
      </w:r>
      <w:r w:rsidR="00EF2184" w:rsidRPr="008A203F">
        <w:rPr>
          <w:rFonts w:asciiTheme="majorHAnsi" w:hAnsiTheme="majorHAnsi" w:cstheme="majorHAnsi"/>
        </w:rPr>
        <w:t>stablish and document program protocol on whether participants can assist in unloading paint containers (e.g., 5-gallon buckets or heavy containers)</w:t>
      </w:r>
    </w:p>
    <w:p w14:paraId="5DC32B32" w14:textId="5D4F790D" w:rsidR="00EF2184" w:rsidRPr="008A203F" w:rsidRDefault="00BC358E" w:rsidP="006B2E99">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P</w:t>
      </w:r>
      <w:r w:rsidR="00EF2184" w:rsidRPr="008A203F">
        <w:rPr>
          <w:rFonts w:asciiTheme="majorHAnsi" w:hAnsiTheme="majorHAnsi" w:cstheme="majorHAnsi"/>
        </w:rPr>
        <w:t xml:space="preserve">articipants </w:t>
      </w:r>
      <w:r>
        <w:rPr>
          <w:rFonts w:asciiTheme="majorHAnsi" w:hAnsiTheme="majorHAnsi" w:cstheme="majorHAnsi"/>
        </w:rPr>
        <w:t>cannot</w:t>
      </w:r>
      <w:r w:rsidR="00EF2184" w:rsidRPr="008A203F">
        <w:rPr>
          <w:rFonts w:asciiTheme="majorHAnsi" w:hAnsiTheme="majorHAnsi" w:cstheme="majorHAnsi"/>
        </w:rPr>
        <w:t xml:space="preserve"> unload chemical wastes as this program does not provide PPE </w:t>
      </w:r>
      <w:r>
        <w:rPr>
          <w:rFonts w:asciiTheme="majorHAnsi" w:hAnsiTheme="majorHAnsi" w:cstheme="majorHAnsi"/>
        </w:rPr>
        <w:t>for public use</w:t>
      </w:r>
    </w:p>
    <w:p w14:paraId="235CF701" w14:textId="79E39BAF" w:rsidR="00EF2184" w:rsidRPr="008A203F" w:rsidRDefault="00CE4C12" w:rsidP="006B2E99">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U</w:t>
      </w:r>
      <w:r w:rsidR="00EF2184" w:rsidRPr="008A203F">
        <w:rPr>
          <w:rFonts w:asciiTheme="majorHAnsi" w:hAnsiTheme="majorHAnsi" w:cstheme="majorHAnsi"/>
        </w:rPr>
        <w:t>se a cart to transport waste to the waste sorting area</w:t>
      </w:r>
    </w:p>
    <w:p w14:paraId="407CB309" w14:textId="77777777" w:rsidR="00EF2184" w:rsidRPr="00CC7AAB" w:rsidRDefault="00EF2184" w:rsidP="00B905E6">
      <w:pPr>
        <w:pStyle w:val="Heading1"/>
        <w:tabs>
          <w:tab w:val="left" w:pos="360"/>
          <w:tab w:val="left" w:pos="720"/>
        </w:tabs>
        <w:spacing w:before="240" w:line="276" w:lineRule="auto"/>
        <w:rPr>
          <w:rFonts w:ascii="Calibri Light" w:hAnsi="Calibri Light" w:cs="Calibri Light"/>
          <w:sz w:val="22"/>
          <w:szCs w:val="22"/>
        </w:rPr>
      </w:pPr>
      <w:bookmarkStart w:id="0" w:name="_Toc37090768"/>
      <w:bookmarkStart w:id="1" w:name="_Toc49666396"/>
      <w:r w:rsidRPr="00CC7AAB">
        <w:rPr>
          <w:rFonts w:ascii="Calibri Light" w:hAnsi="Calibri Light" w:cs="Calibri Light"/>
          <w:sz w:val="22"/>
          <w:szCs w:val="22"/>
        </w:rPr>
        <w:t>2.</w:t>
      </w:r>
      <w:r w:rsidRPr="00CC7AAB">
        <w:rPr>
          <w:rFonts w:ascii="Calibri Light" w:hAnsi="Calibri Light" w:cs="Calibri Light"/>
          <w:sz w:val="22"/>
          <w:szCs w:val="22"/>
        </w:rPr>
        <w:tab/>
      </w:r>
      <w:bookmarkEnd w:id="0"/>
      <w:bookmarkEnd w:id="1"/>
      <w:r w:rsidRPr="00CC7AAB">
        <w:rPr>
          <w:rFonts w:ascii="Calibri Light" w:hAnsi="Calibri Light" w:cs="Calibri Light"/>
          <w:sz w:val="22"/>
          <w:szCs w:val="22"/>
        </w:rPr>
        <w:t>Evaluating incoming wastes</w:t>
      </w:r>
    </w:p>
    <w:p w14:paraId="0AED39AA" w14:textId="77777777" w:rsidR="00EF2184" w:rsidRPr="002263DB" w:rsidRDefault="00EF2184" w:rsidP="00B905E6">
      <w:pPr>
        <w:tabs>
          <w:tab w:val="left" w:pos="360"/>
        </w:tabs>
        <w:spacing w:after="60" w:line="276" w:lineRule="auto"/>
        <w:ind w:left="360"/>
        <w:rPr>
          <w:rFonts w:ascii="Calibri Light" w:hAnsi="Calibri Light" w:cs="Calibri Light"/>
          <w:b/>
          <w:bCs/>
          <w:sz w:val="22"/>
          <w:szCs w:val="22"/>
        </w:rPr>
      </w:pPr>
      <w:r w:rsidRPr="000B6B6A">
        <w:rPr>
          <w:rFonts w:ascii="Calibri Light" w:hAnsi="Calibri Light" w:cs="Calibri Light"/>
          <w:b/>
          <w:bCs/>
          <w:sz w:val="22"/>
          <w:szCs w:val="22"/>
        </w:rPr>
        <w:t>2.1</w:t>
      </w:r>
      <w:r w:rsidRPr="000B6B6A">
        <w:rPr>
          <w:rFonts w:ascii="Calibri Light" w:hAnsi="Calibri Light" w:cs="Calibri Light"/>
          <w:b/>
          <w:bCs/>
          <w:sz w:val="22"/>
          <w:szCs w:val="22"/>
        </w:rPr>
        <w:tab/>
        <w:t>Participant Verification</w:t>
      </w:r>
    </w:p>
    <w:p w14:paraId="49C9D69F" w14:textId="77777777" w:rsidR="00EF2184" w:rsidRPr="008F3C36" w:rsidRDefault="00EF2184" w:rsidP="00B905E6">
      <w:pPr>
        <w:pStyle w:val="BodyText"/>
        <w:spacing w:before="0" w:after="60" w:line="276" w:lineRule="auto"/>
        <w:ind w:left="720"/>
        <w:rPr>
          <w:rStyle w:val="BodyText2Char"/>
          <w:rFonts w:asciiTheme="majorHAnsi" w:hAnsiTheme="majorHAnsi" w:cstheme="majorHAnsi"/>
          <w:bCs/>
          <w:sz w:val="22"/>
          <w:szCs w:val="22"/>
        </w:rPr>
      </w:pPr>
      <w:r w:rsidRPr="008F3C36">
        <w:rPr>
          <w:rStyle w:val="BodyText2Char"/>
          <w:rFonts w:asciiTheme="majorHAnsi" w:hAnsiTheme="majorHAnsi" w:cstheme="majorHAnsi"/>
          <w:sz w:val="22"/>
          <w:szCs w:val="22"/>
        </w:rPr>
        <w:t>Participants must verify the waste is not business generated. Sign in sheets document how many households the HHW came from; this data is later used for annual State reporting and stipend eligibility. Verification may include checking a driver’s license or other acceptable proof of residency.</w:t>
      </w:r>
    </w:p>
    <w:p w14:paraId="5F3B5D83" w14:textId="4B8E85D8" w:rsidR="00EF2184" w:rsidRPr="00796918" w:rsidRDefault="00EF2184" w:rsidP="00BC358E">
      <w:pPr>
        <w:tabs>
          <w:tab w:val="left" w:pos="360"/>
        </w:tabs>
        <w:spacing w:after="60" w:line="276" w:lineRule="auto"/>
        <w:ind w:left="360"/>
        <w:rPr>
          <w:rFonts w:ascii="Calibri Light" w:hAnsi="Calibri Light" w:cs="Calibri Light"/>
          <w:b/>
          <w:sz w:val="22"/>
          <w:szCs w:val="22"/>
        </w:rPr>
      </w:pPr>
      <w:r w:rsidRPr="00796918">
        <w:rPr>
          <w:rFonts w:ascii="Calibri Light" w:hAnsi="Calibri Light" w:cs="Calibri Light"/>
          <w:b/>
          <w:sz w:val="22"/>
          <w:szCs w:val="22"/>
        </w:rPr>
        <w:t>2.2</w:t>
      </w:r>
      <w:r w:rsidRPr="00796918">
        <w:rPr>
          <w:rFonts w:ascii="Calibri Light" w:hAnsi="Calibri Light" w:cs="Calibri Light"/>
          <w:b/>
          <w:sz w:val="22"/>
          <w:szCs w:val="22"/>
        </w:rPr>
        <w:tab/>
        <w:t>Business generated wastes</w:t>
      </w:r>
    </w:p>
    <w:p w14:paraId="037F5CEF" w14:textId="49EAB9AC" w:rsidR="00EF2184" w:rsidRPr="00506A15" w:rsidRDefault="00EF2184" w:rsidP="00B905E6">
      <w:pPr>
        <w:pStyle w:val="BodyText3"/>
        <w:spacing w:after="60" w:line="276" w:lineRule="auto"/>
        <w:ind w:left="720" w:firstLine="0"/>
        <w:rPr>
          <w:rFonts w:ascii="Calibri Light" w:hAnsi="Calibri Light" w:cs="Calibri Light"/>
          <w:bCs/>
          <w:sz w:val="22"/>
          <w:szCs w:val="22"/>
        </w:rPr>
      </w:pPr>
      <w:r w:rsidRPr="00506A15">
        <w:rPr>
          <w:rFonts w:ascii="Calibri Light" w:hAnsi="Calibri Light" w:cs="Calibri Light"/>
          <w:bCs/>
          <w:sz w:val="22"/>
          <w:szCs w:val="22"/>
        </w:rPr>
        <w:t xml:space="preserve">If licensed by the State, this Program may accept from </w:t>
      </w:r>
      <w:hyperlink r:id="rId10" w:history="1">
        <w:r w:rsidRPr="00506A15">
          <w:rPr>
            <w:rFonts w:ascii="Calibri Light" w:hAnsi="Calibri Light" w:cs="Calibri Light"/>
            <w:bCs/>
            <w:sz w:val="22"/>
            <w:szCs w:val="22"/>
          </w:rPr>
          <w:t>VSQG</w:t>
        </w:r>
      </w:hyperlink>
      <w:r w:rsidRPr="00506A15">
        <w:rPr>
          <w:rFonts w:ascii="Calibri Light" w:hAnsi="Calibri Light" w:cs="Calibri Light"/>
          <w:bCs/>
          <w:sz w:val="22"/>
          <w:szCs w:val="22"/>
        </w:rPr>
        <w:t xml:space="preserve"> or </w:t>
      </w:r>
      <w:hyperlink r:id="rId11" w:history="1">
        <w:r w:rsidRPr="00506A15">
          <w:rPr>
            <w:rFonts w:ascii="Calibri Light" w:hAnsi="Calibri Light" w:cs="Calibri Light"/>
            <w:bCs/>
            <w:sz w:val="22"/>
            <w:szCs w:val="22"/>
          </w:rPr>
          <w:t>minimal quantity generator</w:t>
        </w:r>
      </w:hyperlink>
      <w:r w:rsidRPr="00506A15">
        <w:rPr>
          <w:rFonts w:ascii="Calibri Light" w:hAnsi="Calibri Light" w:cs="Calibri Light"/>
          <w:bCs/>
          <w:sz w:val="22"/>
          <w:szCs w:val="22"/>
        </w:rPr>
        <w:t xml:space="preserve"> (MQG) business waste. If the source is uncertain, have the participant complete a form certifying the waste is not business related. Signs the waste may be business generated include:</w:t>
      </w:r>
    </w:p>
    <w:p w14:paraId="481CF758" w14:textId="2BD88AA7" w:rsidR="00EF2184" w:rsidRPr="00506A15" w:rsidRDefault="00CE4C12" w:rsidP="00B905E6">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D</w:t>
      </w:r>
      <w:r w:rsidR="00EF2184" w:rsidRPr="00506A15">
        <w:rPr>
          <w:rFonts w:asciiTheme="majorHAnsi" w:hAnsiTheme="majorHAnsi" w:cstheme="majorHAnsi"/>
        </w:rPr>
        <w:t>elivered in a commercial vehicle</w:t>
      </w:r>
    </w:p>
    <w:p w14:paraId="1A49BF7E" w14:textId="2D4BE8BC" w:rsidR="00EF2184" w:rsidRPr="00506A15" w:rsidRDefault="00CE4C12" w:rsidP="00B905E6">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L</w:t>
      </w:r>
      <w:r w:rsidR="00EF2184" w:rsidRPr="00506A15">
        <w:rPr>
          <w:rFonts w:asciiTheme="majorHAnsi" w:hAnsiTheme="majorHAnsi" w:cstheme="majorHAnsi"/>
        </w:rPr>
        <w:t>arge quantities of a single product (greater than 5 gallons)</w:t>
      </w:r>
    </w:p>
    <w:p w14:paraId="1A43F40E" w14:textId="542C3363" w:rsidR="00EF2184" w:rsidRPr="00506A15" w:rsidRDefault="00CE4C12" w:rsidP="00B905E6">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W</w:t>
      </w:r>
      <w:r w:rsidR="00EF2184" w:rsidRPr="00506A15">
        <w:rPr>
          <w:rFonts w:asciiTheme="majorHAnsi" w:hAnsiTheme="majorHAnsi" w:cstheme="majorHAnsi"/>
        </w:rPr>
        <w:t>aste types are not typically found in residential homes</w:t>
      </w:r>
    </w:p>
    <w:p w14:paraId="3BF6882A" w14:textId="3EBC348E" w:rsidR="00EF2184" w:rsidRPr="00506A15" w:rsidRDefault="00CE4C12" w:rsidP="00B905E6">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I</w:t>
      </w:r>
      <w:r w:rsidR="00EF2184" w:rsidRPr="00506A15">
        <w:rPr>
          <w:rFonts w:asciiTheme="majorHAnsi" w:hAnsiTheme="majorHAnsi" w:cstheme="majorHAnsi"/>
        </w:rPr>
        <w:t>n containers labeled ‘for commercial use only’</w:t>
      </w:r>
    </w:p>
    <w:p w14:paraId="7BD28D3E" w14:textId="4E10224A" w:rsidR="00EF2184" w:rsidRPr="00506A15" w:rsidRDefault="00CE4C12" w:rsidP="00B905E6">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L</w:t>
      </w:r>
      <w:r w:rsidR="00EF2184" w:rsidRPr="00506A15">
        <w:rPr>
          <w:rFonts w:asciiTheme="majorHAnsi" w:hAnsiTheme="majorHAnsi" w:cstheme="majorHAnsi"/>
        </w:rPr>
        <w:t xml:space="preserve">abels </w:t>
      </w:r>
      <w:r w:rsidR="00BC358E">
        <w:rPr>
          <w:rFonts w:asciiTheme="majorHAnsi" w:hAnsiTheme="majorHAnsi" w:cstheme="majorHAnsi"/>
        </w:rPr>
        <w:t>that are very plain and/or display</w:t>
      </w:r>
      <w:r w:rsidR="00EF2184" w:rsidRPr="00506A15">
        <w:rPr>
          <w:rFonts w:asciiTheme="majorHAnsi" w:hAnsiTheme="majorHAnsi" w:cstheme="majorHAnsi"/>
        </w:rPr>
        <w:t xml:space="preserve"> </w:t>
      </w:r>
      <w:hyperlink r:id="rId12" w:history="1">
        <w:r w:rsidR="00EF2184" w:rsidRPr="00506A15">
          <w:rPr>
            <w:rFonts w:asciiTheme="majorHAnsi" w:hAnsiTheme="majorHAnsi" w:cstheme="majorHAnsi"/>
          </w:rPr>
          <w:t>NFPA/GHIS</w:t>
        </w:r>
      </w:hyperlink>
      <w:r w:rsidR="00EF2184" w:rsidRPr="00506A15">
        <w:rPr>
          <w:rFonts w:asciiTheme="majorHAnsi" w:hAnsiTheme="majorHAnsi" w:cstheme="majorHAnsi"/>
        </w:rPr>
        <w:t xml:space="preserve"> pictograms</w:t>
      </w:r>
    </w:p>
    <w:p w14:paraId="5781897E" w14:textId="098341E6" w:rsidR="00EF2184" w:rsidRPr="00506A15" w:rsidRDefault="00CE4C12" w:rsidP="00B905E6">
      <w:pPr>
        <w:pStyle w:val="ListBullet"/>
        <w:tabs>
          <w:tab w:val="clear" w:pos="2160"/>
        </w:tabs>
        <w:spacing w:line="276" w:lineRule="auto"/>
        <w:ind w:left="1080" w:right="0"/>
        <w:rPr>
          <w:rFonts w:asciiTheme="majorHAnsi" w:hAnsiTheme="majorHAnsi" w:cstheme="majorHAnsi"/>
        </w:rPr>
      </w:pPr>
      <w:r>
        <w:rPr>
          <w:rFonts w:asciiTheme="majorHAnsi" w:hAnsiTheme="majorHAnsi" w:cstheme="majorHAnsi"/>
        </w:rPr>
        <w:t>L</w:t>
      </w:r>
      <w:r w:rsidR="00EF2184" w:rsidRPr="00506A15">
        <w:rPr>
          <w:rFonts w:asciiTheme="majorHAnsi" w:hAnsiTheme="majorHAnsi" w:cstheme="majorHAnsi"/>
        </w:rPr>
        <w:t>abels containing OSHA Right-to-Know Regulations</w:t>
      </w:r>
    </w:p>
    <w:p w14:paraId="1F849E49" w14:textId="77777777" w:rsidR="00EF2184" w:rsidRPr="0028288E" w:rsidRDefault="00EF2184" w:rsidP="00B905E6">
      <w:pPr>
        <w:pStyle w:val="Heading1"/>
        <w:tabs>
          <w:tab w:val="left" w:pos="360"/>
          <w:tab w:val="left" w:pos="720"/>
        </w:tabs>
        <w:spacing w:before="240" w:line="276" w:lineRule="auto"/>
        <w:rPr>
          <w:rFonts w:ascii="Calibri Light" w:hAnsi="Calibri Light" w:cs="Calibri Light"/>
          <w:sz w:val="22"/>
          <w:szCs w:val="22"/>
        </w:rPr>
      </w:pPr>
      <w:bookmarkStart w:id="2" w:name="1960.12(a)"/>
      <w:bookmarkStart w:id="3" w:name="_Toc37090769"/>
      <w:bookmarkEnd w:id="2"/>
      <w:r w:rsidRPr="0028288E">
        <w:rPr>
          <w:rFonts w:ascii="Calibri Light" w:hAnsi="Calibri Light" w:cs="Calibri Light"/>
          <w:sz w:val="22"/>
          <w:szCs w:val="22"/>
        </w:rPr>
        <w:t>3.</w:t>
      </w:r>
      <w:r w:rsidRPr="0028288E">
        <w:rPr>
          <w:rFonts w:ascii="Calibri Light" w:hAnsi="Calibri Light" w:cs="Calibri Light"/>
          <w:sz w:val="22"/>
          <w:szCs w:val="22"/>
        </w:rPr>
        <w:tab/>
        <w:t>Minnesota Hazardous Waste Rules</w:t>
      </w:r>
    </w:p>
    <w:p w14:paraId="02E03DDA" w14:textId="27F73A81" w:rsidR="00EF2184" w:rsidRPr="00E55BFE" w:rsidRDefault="00EF2184" w:rsidP="005877EE">
      <w:pPr>
        <w:pStyle w:val="BodyText"/>
        <w:widowControl w:val="0"/>
        <w:adjustRightInd w:val="0"/>
        <w:spacing w:before="0" w:after="60" w:line="276" w:lineRule="auto"/>
        <w:textAlignment w:val="baseline"/>
        <w:rPr>
          <w:rStyle w:val="BodyText2Char"/>
          <w:rFonts w:asciiTheme="majorHAnsi" w:hAnsiTheme="majorHAnsi" w:cstheme="majorHAnsi"/>
          <w:sz w:val="22"/>
          <w:szCs w:val="22"/>
        </w:rPr>
      </w:pPr>
      <w:r w:rsidRPr="00E55BFE">
        <w:rPr>
          <w:rStyle w:val="BodyText2Char"/>
          <w:rFonts w:asciiTheme="majorHAnsi" w:hAnsiTheme="majorHAnsi" w:cstheme="majorHAnsi"/>
          <w:sz w:val="22"/>
          <w:szCs w:val="22"/>
        </w:rPr>
        <w:t xml:space="preserve">Although RCRA governs the collection and management of hazardous wastes, it does not specifically include regulations for HHW. At the state level, Minnesota has adopted its own version of </w:t>
      </w:r>
      <w:hyperlink r:id="rId13" w:history="1">
        <w:r w:rsidRPr="00E55BFE">
          <w:rPr>
            <w:rStyle w:val="BodyText2Char"/>
            <w:rFonts w:asciiTheme="majorHAnsi" w:hAnsiTheme="majorHAnsi" w:cstheme="majorHAnsi"/>
            <w:color w:val="0000FF"/>
            <w:sz w:val="22"/>
            <w:szCs w:val="22"/>
            <w:u w:val="single"/>
          </w:rPr>
          <w:t>CFR Part 262</w:t>
        </w:r>
      </w:hyperlink>
      <w:r w:rsidRPr="00E55BFE">
        <w:rPr>
          <w:rStyle w:val="BodyText2Char"/>
          <w:rFonts w:asciiTheme="majorHAnsi" w:hAnsiTheme="majorHAnsi" w:cstheme="majorHAnsi"/>
          <w:sz w:val="22"/>
          <w:szCs w:val="22"/>
        </w:rPr>
        <w:t xml:space="preserve">. The most common HHW rules and statues apply in </w:t>
      </w:r>
      <w:hyperlink r:id="rId14" w:history="1">
        <w:r w:rsidRPr="00E55BFE">
          <w:rPr>
            <w:rStyle w:val="BodyText2Char"/>
            <w:rFonts w:asciiTheme="majorHAnsi" w:hAnsiTheme="majorHAnsi" w:cstheme="majorHAnsi"/>
            <w:color w:val="0000FF"/>
            <w:sz w:val="22"/>
            <w:szCs w:val="22"/>
            <w:u w:val="single"/>
          </w:rPr>
          <w:t>7045.0310</w:t>
        </w:r>
      </w:hyperlink>
      <w:r w:rsidRPr="00E55BFE">
        <w:rPr>
          <w:rStyle w:val="BodyText2Char"/>
          <w:rFonts w:asciiTheme="majorHAnsi" w:hAnsiTheme="majorHAnsi" w:cstheme="majorHAnsi"/>
          <w:sz w:val="22"/>
          <w:szCs w:val="22"/>
        </w:rPr>
        <w:t xml:space="preserve"> </w:t>
      </w:r>
      <w:r w:rsidRPr="00E55BFE">
        <w:rPr>
          <w:rStyle w:val="BodyText2Char"/>
          <w:rFonts w:asciiTheme="majorHAnsi" w:eastAsia="BatangChe" w:hAnsiTheme="majorHAnsi" w:cstheme="majorHAnsi"/>
          <w:sz w:val="22"/>
          <w:szCs w:val="22"/>
        </w:rPr>
        <w:t>,</w:t>
      </w:r>
      <w:r w:rsidRPr="00E55BFE">
        <w:rPr>
          <w:rStyle w:val="BodyText2Char"/>
          <w:rFonts w:asciiTheme="majorHAnsi" w:hAnsiTheme="majorHAnsi" w:cstheme="majorHAnsi"/>
          <w:sz w:val="22"/>
          <w:szCs w:val="22"/>
        </w:rPr>
        <w:t xml:space="preserve"> </w:t>
      </w:r>
      <w:hyperlink r:id="rId15" w:history="1">
        <w:r w:rsidRPr="00E55BFE">
          <w:rPr>
            <w:rStyle w:val="BodyText2Char"/>
            <w:rFonts w:asciiTheme="majorHAnsi" w:hAnsiTheme="majorHAnsi" w:cstheme="majorHAnsi"/>
            <w:color w:val="0000FF"/>
            <w:sz w:val="22"/>
            <w:szCs w:val="22"/>
            <w:u w:val="single"/>
          </w:rPr>
          <w:t>115A.96</w:t>
        </w:r>
      </w:hyperlink>
      <w:r w:rsidRPr="00E55BFE">
        <w:rPr>
          <w:rStyle w:val="BodyText2Char"/>
          <w:rFonts w:asciiTheme="majorHAnsi" w:hAnsiTheme="majorHAnsi" w:cstheme="majorHAnsi"/>
          <w:sz w:val="22"/>
          <w:szCs w:val="22"/>
        </w:rPr>
        <w:t xml:space="preserve"> and </w:t>
      </w:r>
      <w:hyperlink r:id="rId16" w:history="1">
        <w:r w:rsidRPr="00E55BFE">
          <w:rPr>
            <w:rStyle w:val="BodyText2Char"/>
            <w:rFonts w:asciiTheme="majorHAnsi" w:hAnsiTheme="majorHAnsi" w:cstheme="majorHAnsi"/>
            <w:color w:val="0000FF"/>
            <w:sz w:val="22"/>
            <w:szCs w:val="22"/>
            <w:u w:val="single"/>
          </w:rPr>
          <w:t>473.811</w:t>
        </w:r>
      </w:hyperlink>
      <w:r w:rsidRPr="00E55BFE">
        <w:rPr>
          <w:rStyle w:val="BodyText2Char"/>
          <w:rFonts w:asciiTheme="majorHAnsi" w:hAnsiTheme="majorHAnsi" w:cstheme="majorHAnsi"/>
          <w:sz w:val="22"/>
          <w:szCs w:val="22"/>
        </w:rPr>
        <w:t xml:space="preserve">, which frame the development and operation of HHW Programs in both Metropolitan (metro) and Greater MN counties.  HHW rules state that if an entity collects discarded household products that meet HW criteria due to </w:t>
      </w:r>
      <w:hyperlink r:id="rId17" w:history="1">
        <w:r w:rsidRPr="00E55BFE">
          <w:rPr>
            <w:rStyle w:val="BodyText2Char"/>
            <w:rFonts w:asciiTheme="majorHAnsi" w:hAnsiTheme="majorHAnsi" w:cstheme="majorHAnsi"/>
            <w:color w:val="0000FF"/>
            <w:sz w:val="22"/>
            <w:szCs w:val="22"/>
            <w:u w:val="single"/>
          </w:rPr>
          <w:t>characteristics</w:t>
        </w:r>
      </w:hyperlink>
      <w:r w:rsidRPr="00E55BFE">
        <w:rPr>
          <w:rStyle w:val="BodyText2Char"/>
          <w:rFonts w:asciiTheme="majorHAnsi" w:hAnsiTheme="majorHAnsi" w:cstheme="majorHAnsi"/>
          <w:sz w:val="22"/>
          <w:szCs w:val="22"/>
        </w:rPr>
        <w:t xml:space="preserve">, are </w:t>
      </w:r>
      <w:hyperlink r:id="rId18" w:history="1">
        <w:r w:rsidRPr="00E55BFE">
          <w:rPr>
            <w:rStyle w:val="BodyText2Char"/>
            <w:rFonts w:asciiTheme="majorHAnsi" w:hAnsiTheme="majorHAnsi" w:cstheme="majorHAnsi"/>
            <w:color w:val="0000FF"/>
            <w:sz w:val="22"/>
            <w:szCs w:val="22"/>
            <w:u w:val="single"/>
          </w:rPr>
          <w:t>listed</w:t>
        </w:r>
      </w:hyperlink>
      <w:r w:rsidRPr="00E55BFE">
        <w:rPr>
          <w:rStyle w:val="BodyText2Char"/>
          <w:rFonts w:asciiTheme="majorHAnsi" w:hAnsiTheme="majorHAnsi" w:cstheme="majorHAnsi"/>
          <w:sz w:val="22"/>
          <w:szCs w:val="22"/>
        </w:rPr>
        <w:t xml:space="preserve">, or are toxic or hazardous due to the ingredients contained in them, the collector is then considered a HHW Program and is responsible for proper management, </w:t>
      </w:r>
      <w:hyperlink r:id="rId19" w:history="1">
        <w:r w:rsidRPr="00E55BFE">
          <w:rPr>
            <w:rStyle w:val="BodyText2Char"/>
            <w:rFonts w:asciiTheme="majorHAnsi" w:hAnsiTheme="majorHAnsi" w:cstheme="majorHAnsi"/>
            <w:color w:val="0000FF"/>
            <w:sz w:val="22"/>
            <w:szCs w:val="22"/>
            <w:u w:val="single"/>
          </w:rPr>
          <w:t>storage</w:t>
        </w:r>
      </w:hyperlink>
      <w:r w:rsidRPr="00E55BFE">
        <w:rPr>
          <w:rStyle w:val="BodyText2Char"/>
          <w:rFonts w:asciiTheme="majorHAnsi" w:hAnsiTheme="majorHAnsi" w:cstheme="majorHAnsi"/>
          <w:sz w:val="22"/>
          <w:szCs w:val="22"/>
        </w:rPr>
        <w:t xml:space="preserve">, disposal and </w:t>
      </w:r>
      <w:hyperlink r:id="rId20" w:history="1">
        <w:r w:rsidRPr="00E55BFE">
          <w:rPr>
            <w:rStyle w:val="BodyText2Char"/>
            <w:rFonts w:asciiTheme="majorHAnsi" w:hAnsiTheme="majorHAnsi" w:cstheme="majorHAnsi"/>
            <w:color w:val="0000FF"/>
            <w:sz w:val="22"/>
            <w:szCs w:val="22"/>
            <w:u w:val="single"/>
          </w:rPr>
          <w:t>transport</w:t>
        </w:r>
      </w:hyperlink>
      <w:r w:rsidRPr="00E55BFE">
        <w:rPr>
          <w:rStyle w:val="BodyText2Char"/>
          <w:rFonts w:asciiTheme="majorHAnsi" w:hAnsiTheme="majorHAnsi" w:cstheme="majorHAnsi"/>
          <w:sz w:val="22"/>
          <w:szCs w:val="22"/>
        </w:rPr>
        <w:t xml:space="preserve"> of those materials. </w:t>
      </w:r>
    </w:p>
    <w:bookmarkEnd w:id="3"/>
    <w:p w14:paraId="6FB176F6" w14:textId="77777777" w:rsidR="00EF2184" w:rsidRPr="00EF2184" w:rsidRDefault="00EF2184" w:rsidP="00A42A8B">
      <w:pPr>
        <w:pStyle w:val="Heading1"/>
        <w:tabs>
          <w:tab w:val="left" w:pos="360"/>
          <w:tab w:val="left" w:pos="720"/>
        </w:tabs>
        <w:spacing w:before="240" w:line="276" w:lineRule="auto"/>
        <w:rPr>
          <w:rFonts w:ascii="Calibri Light" w:hAnsi="Calibri Light" w:cs="Calibri Light"/>
          <w:sz w:val="22"/>
          <w:szCs w:val="22"/>
        </w:rPr>
      </w:pPr>
      <w:r w:rsidRPr="00EF2184">
        <w:rPr>
          <w:rFonts w:ascii="Calibri Light" w:hAnsi="Calibri Light" w:cs="Calibri Light"/>
          <w:sz w:val="22"/>
          <w:szCs w:val="22"/>
        </w:rPr>
        <w:t>4.</w:t>
      </w:r>
      <w:r w:rsidRPr="00EF2184">
        <w:rPr>
          <w:rFonts w:ascii="Calibri Light" w:hAnsi="Calibri Light" w:cs="Calibri Light"/>
          <w:sz w:val="22"/>
          <w:szCs w:val="22"/>
        </w:rPr>
        <w:tab/>
        <w:t>Very Small Quantity Generator (VSQG) Collection Rules</w:t>
      </w:r>
    </w:p>
    <w:p w14:paraId="062DA001" w14:textId="792C39F7" w:rsidR="00EF2184" w:rsidRPr="00E55BFE" w:rsidRDefault="00EF2184" w:rsidP="00A42A8B">
      <w:pPr>
        <w:pStyle w:val="BodyText"/>
        <w:widowControl w:val="0"/>
        <w:adjustRightInd w:val="0"/>
        <w:spacing w:before="0" w:after="60" w:line="276" w:lineRule="auto"/>
        <w:textAlignment w:val="baseline"/>
        <w:rPr>
          <w:rStyle w:val="BodyText2Char"/>
          <w:rFonts w:asciiTheme="majorHAnsi" w:hAnsiTheme="majorHAnsi" w:cstheme="majorHAnsi"/>
          <w:bCs/>
          <w:sz w:val="22"/>
          <w:szCs w:val="22"/>
        </w:rPr>
      </w:pPr>
      <w:r w:rsidRPr="00E55BFE">
        <w:rPr>
          <w:rStyle w:val="BodyText2Char"/>
          <w:rFonts w:asciiTheme="majorHAnsi" w:hAnsiTheme="majorHAnsi" w:cstheme="majorHAnsi"/>
          <w:bCs/>
          <w:sz w:val="22"/>
          <w:szCs w:val="22"/>
        </w:rPr>
        <w:t xml:space="preserve">Some HHW Programs also collect HW from businesses qualifying as a VSQG that generate less than 220 pounds (or approximately 22 gallons) of HW per month. It is up to this HHW Program to determine whether to accept HW from non-household generators (MN Rule </w:t>
      </w:r>
      <w:hyperlink r:id="rId21" w:history="1">
        <w:r w:rsidRPr="00E55BFE">
          <w:rPr>
            <w:rStyle w:val="Hyperlink"/>
            <w:rFonts w:asciiTheme="majorHAnsi" w:eastAsia="BatangChe" w:hAnsiTheme="majorHAnsi" w:cstheme="majorHAnsi"/>
            <w:color w:val="0000FF"/>
            <w:sz w:val="22"/>
            <w:szCs w:val="22"/>
          </w:rPr>
          <w:t>7045.0320</w:t>
        </w:r>
      </w:hyperlink>
      <w:r w:rsidRPr="00E55BFE">
        <w:rPr>
          <w:rStyle w:val="BodyText2Char"/>
          <w:rFonts w:asciiTheme="majorHAnsi" w:hAnsiTheme="majorHAnsi" w:cstheme="majorHAnsi"/>
          <w:bCs/>
          <w:sz w:val="22"/>
          <w:szCs w:val="22"/>
        </w:rPr>
        <w:t xml:space="preserve"> applies to licensed HHW VSQG collection sites). </w:t>
      </w:r>
    </w:p>
    <w:p w14:paraId="1F5FE84F" w14:textId="77777777" w:rsidR="00EF2184" w:rsidRPr="00EF2184" w:rsidRDefault="00EF2184" w:rsidP="0050282D">
      <w:pPr>
        <w:pStyle w:val="Heading1"/>
        <w:tabs>
          <w:tab w:val="left" w:pos="360"/>
          <w:tab w:val="left" w:pos="720"/>
        </w:tabs>
        <w:spacing w:before="240" w:line="276" w:lineRule="auto"/>
        <w:rPr>
          <w:rFonts w:ascii="Calibri Light" w:hAnsi="Calibri Light" w:cs="Calibri Light"/>
          <w:sz w:val="22"/>
          <w:szCs w:val="22"/>
        </w:rPr>
      </w:pPr>
      <w:r w:rsidRPr="00EF2184">
        <w:rPr>
          <w:rFonts w:ascii="Calibri Light" w:hAnsi="Calibri Light" w:cs="Calibri Light"/>
          <w:sz w:val="22"/>
          <w:szCs w:val="22"/>
        </w:rPr>
        <w:t>5.</w:t>
      </w:r>
      <w:r w:rsidRPr="00EF2184">
        <w:rPr>
          <w:rFonts w:ascii="Calibri Light" w:hAnsi="Calibri Light" w:cs="Calibri Light"/>
          <w:sz w:val="22"/>
          <w:szCs w:val="22"/>
        </w:rPr>
        <w:tab/>
        <w:t>Metro County Ordinances</w:t>
      </w:r>
    </w:p>
    <w:p w14:paraId="3D5FDD0A" w14:textId="03A4B554" w:rsidR="00EF2184" w:rsidRPr="00E55BFE" w:rsidRDefault="005F3FE4" w:rsidP="00A42A8B">
      <w:pPr>
        <w:pStyle w:val="BodyText"/>
        <w:widowControl w:val="0"/>
        <w:adjustRightInd w:val="0"/>
        <w:spacing w:before="0" w:after="60" w:line="276" w:lineRule="auto"/>
        <w:textAlignment w:val="baseline"/>
        <w:rPr>
          <w:rStyle w:val="BodyText2Char"/>
          <w:rFonts w:asciiTheme="majorHAnsi" w:hAnsiTheme="majorHAnsi" w:cstheme="majorHAnsi"/>
          <w:bCs/>
          <w:sz w:val="22"/>
          <w:szCs w:val="22"/>
        </w:rPr>
      </w:pPr>
      <w:r>
        <w:rPr>
          <w:rStyle w:val="BodyText2Char"/>
          <w:rFonts w:asciiTheme="majorHAnsi" w:hAnsiTheme="majorHAnsi" w:cstheme="majorHAnsi"/>
          <w:bCs/>
          <w:sz w:val="22"/>
          <w:szCs w:val="22"/>
        </w:rPr>
        <w:t xml:space="preserve">The </w:t>
      </w:r>
      <w:r w:rsidR="00EF2184" w:rsidRPr="00E55BFE">
        <w:rPr>
          <w:rStyle w:val="BodyText2Char"/>
          <w:rFonts w:asciiTheme="majorHAnsi" w:hAnsiTheme="majorHAnsi" w:cstheme="majorHAnsi"/>
          <w:bCs/>
          <w:sz w:val="22"/>
          <w:szCs w:val="22"/>
        </w:rPr>
        <w:t xml:space="preserve">HW business generators are regulated by the Minnesota Pollution Control Agency (MPCA) in greater MN, while the seven MN metro counties are authorized by the EPA to enforce the </w:t>
      </w:r>
      <w:hyperlink r:id="rId22" w:history="1">
        <w:r w:rsidR="00EF2184" w:rsidRPr="00E55BFE">
          <w:rPr>
            <w:rStyle w:val="Hyperlink"/>
            <w:rFonts w:asciiTheme="majorHAnsi" w:hAnsiTheme="majorHAnsi" w:cstheme="majorHAnsi"/>
            <w:bCs/>
            <w:color w:val="0000FF"/>
            <w:sz w:val="22"/>
            <w:szCs w:val="22"/>
          </w:rPr>
          <w:t>HW rules</w:t>
        </w:r>
      </w:hyperlink>
      <w:r w:rsidR="00EF2184" w:rsidRPr="00E55BFE">
        <w:rPr>
          <w:rStyle w:val="BodyText2Char"/>
          <w:rFonts w:asciiTheme="majorHAnsi" w:hAnsiTheme="majorHAnsi" w:cstheme="majorHAnsi"/>
          <w:bCs/>
          <w:sz w:val="22"/>
          <w:szCs w:val="22"/>
        </w:rPr>
        <w:t xml:space="preserve"> within their counties and then regulates and licenses through their </w:t>
      </w:r>
      <w:hyperlink r:id="rId23" w:history="1">
        <w:r w:rsidR="00EF2184" w:rsidRPr="00E55BFE">
          <w:rPr>
            <w:rStyle w:val="Hyperlink"/>
            <w:rFonts w:asciiTheme="majorHAnsi" w:hAnsiTheme="majorHAnsi" w:cstheme="majorHAnsi"/>
            <w:bCs/>
            <w:color w:val="0000FF"/>
            <w:sz w:val="22"/>
            <w:szCs w:val="22"/>
          </w:rPr>
          <w:t>ordinances</w:t>
        </w:r>
      </w:hyperlink>
      <w:r w:rsidR="00EF2184" w:rsidRPr="00E55BFE">
        <w:rPr>
          <w:rStyle w:val="BodyText2Char"/>
          <w:rFonts w:asciiTheme="majorHAnsi" w:hAnsiTheme="majorHAnsi" w:cstheme="majorHAnsi"/>
          <w:bCs/>
          <w:sz w:val="22"/>
          <w:szCs w:val="22"/>
        </w:rPr>
        <w:t>. Each HHW Program should be familiar with their applicable and specific county regulations.</w:t>
      </w:r>
    </w:p>
    <w:p w14:paraId="21AFA745" w14:textId="77777777" w:rsidR="00EF2184" w:rsidRPr="00EF2184" w:rsidRDefault="00EF2184" w:rsidP="0050282D">
      <w:pPr>
        <w:pStyle w:val="Heading1"/>
        <w:tabs>
          <w:tab w:val="left" w:pos="360"/>
          <w:tab w:val="left" w:pos="720"/>
        </w:tabs>
        <w:spacing w:before="240" w:line="276" w:lineRule="auto"/>
        <w:rPr>
          <w:rFonts w:ascii="Calibri Light" w:hAnsi="Calibri Light" w:cs="Calibri Light"/>
          <w:sz w:val="22"/>
          <w:szCs w:val="22"/>
        </w:rPr>
      </w:pPr>
      <w:r w:rsidRPr="00EF2184">
        <w:rPr>
          <w:rFonts w:ascii="Calibri Light" w:hAnsi="Calibri Light" w:cs="Calibri Light"/>
          <w:sz w:val="22"/>
          <w:szCs w:val="22"/>
        </w:rPr>
        <w:t>6.</w:t>
      </w:r>
      <w:r w:rsidRPr="00EF2184">
        <w:rPr>
          <w:rFonts w:ascii="Calibri Light" w:hAnsi="Calibri Light" w:cs="Calibri Light"/>
          <w:sz w:val="22"/>
          <w:szCs w:val="22"/>
        </w:rPr>
        <w:tab/>
        <w:t>Joint Powers Agreements (JPA)</w:t>
      </w:r>
    </w:p>
    <w:p w14:paraId="6AB0C55A" w14:textId="692A9315" w:rsidR="00EF2184" w:rsidRPr="00E55BFE" w:rsidRDefault="00EF2184" w:rsidP="00A42A8B">
      <w:pPr>
        <w:pStyle w:val="BodyText"/>
        <w:widowControl w:val="0"/>
        <w:adjustRightInd w:val="0"/>
        <w:spacing w:before="0" w:after="60" w:line="276" w:lineRule="auto"/>
        <w:textAlignment w:val="baseline"/>
        <w:rPr>
          <w:rStyle w:val="BodyText2Char"/>
          <w:rFonts w:asciiTheme="majorHAnsi" w:hAnsiTheme="majorHAnsi" w:cstheme="majorHAnsi"/>
          <w:bCs/>
          <w:sz w:val="22"/>
          <w:szCs w:val="22"/>
        </w:rPr>
      </w:pPr>
      <w:r w:rsidRPr="00E55BFE">
        <w:rPr>
          <w:rStyle w:val="BodyText2Char"/>
          <w:rFonts w:asciiTheme="majorHAnsi" w:hAnsiTheme="majorHAnsi" w:cstheme="majorHAnsi"/>
          <w:bCs/>
          <w:sz w:val="22"/>
          <w:szCs w:val="22"/>
        </w:rPr>
        <w:t xml:space="preserve">The MPCA and Counties develop and sign a </w:t>
      </w:r>
      <w:hyperlink r:id="rId24" w:history="1">
        <w:r w:rsidRPr="00E55BFE">
          <w:rPr>
            <w:rStyle w:val="Hyperlink"/>
            <w:rFonts w:asciiTheme="majorHAnsi" w:hAnsiTheme="majorHAnsi" w:cstheme="majorHAnsi"/>
            <w:bCs/>
            <w:color w:val="0000FF"/>
            <w:sz w:val="22"/>
            <w:szCs w:val="22"/>
          </w:rPr>
          <w:t>JPA</w:t>
        </w:r>
      </w:hyperlink>
      <w:r w:rsidRPr="00E55BFE">
        <w:rPr>
          <w:rStyle w:val="BodyText2Char"/>
          <w:rFonts w:asciiTheme="majorHAnsi" w:hAnsiTheme="majorHAnsi" w:cstheme="majorHAnsi"/>
          <w:bCs/>
          <w:sz w:val="22"/>
          <w:szCs w:val="22"/>
        </w:rPr>
        <w:t xml:space="preserve">, which outlines the partnership between the State and County or Regional Program to operate a HHW Program. </w:t>
      </w:r>
    </w:p>
    <w:p w14:paraId="1A8FEBE2" w14:textId="40F43580" w:rsidR="00EF2184" w:rsidRPr="00EF2184" w:rsidRDefault="00EF2184" w:rsidP="0050282D">
      <w:pPr>
        <w:pStyle w:val="Heading1"/>
        <w:tabs>
          <w:tab w:val="left" w:pos="360"/>
          <w:tab w:val="left" w:pos="720"/>
        </w:tabs>
        <w:spacing w:before="240" w:line="276" w:lineRule="auto"/>
        <w:rPr>
          <w:rFonts w:ascii="Calibri Light" w:hAnsi="Calibri Light" w:cs="Calibri Light"/>
          <w:sz w:val="22"/>
          <w:szCs w:val="22"/>
        </w:rPr>
      </w:pPr>
      <w:r w:rsidRPr="00EF2184">
        <w:rPr>
          <w:rFonts w:ascii="Calibri Light" w:hAnsi="Calibri Light" w:cs="Calibri Light"/>
          <w:sz w:val="22"/>
          <w:szCs w:val="22"/>
        </w:rPr>
        <w:t>7.</w:t>
      </w:r>
      <w:r w:rsidRPr="00EF2184">
        <w:rPr>
          <w:rFonts w:ascii="Calibri Light" w:hAnsi="Calibri Light" w:cs="Calibri Light"/>
          <w:sz w:val="22"/>
          <w:szCs w:val="22"/>
        </w:rPr>
        <w:tab/>
        <w:t>Policy Decisions and Standard Operating Procedures (SOPs)</w:t>
      </w:r>
    </w:p>
    <w:p w14:paraId="4914F509" w14:textId="43A18D50" w:rsidR="00EF2184" w:rsidRPr="00E55BFE" w:rsidRDefault="00EF2184" w:rsidP="00A80A39">
      <w:pPr>
        <w:pStyle w:val="BodyText"/>
        <w:widowControl w:val="0"/>
        <w:adjustRightInd w:val="0"/>
        <w:spacing w:before="0" w:after="60" w:line="276" w:lineRule="auto"/>
        <w:textAlignment w:val="baseline"/>
        <w:rPr>
          <w:rFonts w:asciiTheme="majorHAnsi" w:hAnsiTheme="majorHAnsi" w:cstheme="majorHAnsi"/>
          <w:sz w:val="22"/>
          <w:szCs w:val="22"/>
        </w:rPr>
      </w:pPr>
      <w:r w:rsidRPr="00E55BFE">
        <w:rPr>
          <w:rStyle w:val="BodyText2Char"/>
          <w:rFonts w:asciiTheme="majorHAnsi" w:hAnsiTheme="majorHAnsi" w:cstheme="majorHAnsi"/>
          <w:bCs/>
          <w:sz w:val="22"/>
          <w:szCs w:val="22"/>
        </w:rPr>
        <w:t xml:space="preserve">In addition to statutes, rules, and ordinances, the MPCA develops </w:t>
      </w:r>
      <w:r w:rsidRPr="00E55BFE">
        <w:rPr>
          <w:rFonts w:asciiTheme="majorHAnsi" w:hAnsiTheme="majorHAnsi" w:cstheme="majorHAnsi"/>
          <w:bCs/>
          <w:sz w:val="22"/>
          <w:szCs w:val="22"/>
        </w:rPr>
        <w:t>policy</w:t>
      </w:r>
      <w:r w:rsidRPr="00E55BFE">
        <w:rPr>
          <w:rStyle w:val="BodyText2Char"/>
          <w:rFonts w:asciiTheme="majorHAnsi" w:hAnsiTheme="majorHAnsi" w:cstheme="majorHAnsi"/>
          <w:bCs/>
          <w:sz w:val="22"/>
          <w:szCs w:val="22"/>
        </w:rPr>
        <w:t xml:space="preserve"> to cover situations where the rules are silent, unclear or where they prevent efficient HHW collection. </w:t>
      </w:r>
      <w:r w:rsidR="005F3FE4">
        <w:rPr>
          <w:rStyle w:val="BodyText2Char"/>
          <w:rFonts w:asciiTheme="majorHAnsi" w:hAnsiTheme="majorHAnsi" w:cstheme="majorHAnsi"/>
          <w:bCs/>
          <w:sz w:val="22"/>
          <w:szCs w:val="22"/>
        </w:rPr>
        <w:t xml:space="preserve">The </w:t>
      </w:r>
      <w:r w:rsidRPr="00E55BFE">
        <w:rPr>
          <w:rFonts w:asciiTheme="majorHAnsi" w:hAnsiTheme="majorHAnsi" w:cstheme="majorHAnsi"/>
          <w:color w:val="000000" w:themeColor="text1"/>
          <w:sz w:val="22"/>
          <w:szCs w:val="22"/>
        </w:rPr>
        <w:t>HHW SOPs address those specific portions of the MN Rules; the MPCA website</w:t>
      </w:r>
      <w:r w:rsidRPr="00E55BFE">
        <w:rPr>
          <w:rStyle w:val="BodyText2Char"/>
          <w:rFonts w:asciiTheme="majorHAnsi" w:hAnsiTheme="majorHAnsi" w:cstheme="majorHAnsi"/>
          <w:bCs/>
          <w:sz w:val="22"/>
          <w:szCs w:val="22"/>
        </w:rPr>
        <w:t xml:space="preserve"> includes SOP te</w:t>
      </w:r>
      <w:r w:rsidRPr="00E55BFE">
        <w:rPr>
          <w:rFonts w:asciiTheme="majorHAnsi" w:hAnsiTheme="majorHAnsi" w:cstheme="majorHAnsi"/>
          <w:sz w:val="22"/>
          <w:szCs w:val="22"/>
        </w:rPr>
        <w:t xml:space="preserve">mplates that can be downloaded to individual county files, then should be modified to be site specific. </w:t>
      </w:r>
      <w:r w:rsidRPr="00E55BFE">
        <w:rPr>
          <w:rStyle w:val="BodyText2Char"/>
          <w:rFonts w:asciiTheme="majorHAnsi" w:hAnsiTheme="majorHAnsi" w:cstheme="majorHAnsi"/>
          <w:bCs/>
          <w:sz w:val="22"/>
          <w:szCs w:val="22"/>
        </w:rPr>
        <w:t xml:space="preserve">HHW </w:t>
      </w:r>
      <w:r w:rsidR="00A80A39">
        <w:rPr>
          <w:rStyle w:val="BodyText2Char"/>
          <w:rFonts w:asciiTheme="majorHAnsi" w:hAnsiTheme="majorHAnsi" w:cstheme="majorHAnsi"/>
          <w:bCs/>
          <w:sz w:val="22"/>
          <w:szCs w:val="22"/>
        </w:rPr>
        <w:t xml:space="preserve">regulations and </w:t>
      </w:r>
      <w:r w:rsidRPr="00E55BFE">
        <w:rPr>
          <w:rStyle w:val="BodyText2Char"/>
          <w:rFonts w:asciiTheme="majorHAnsi" w:hAnsiTheme="majorHAnsi" w:cstheme="majorHAnsi"/>
          <w:bCs/>
          <w:sz w:val="22"/>
          <w:szCs w:val="22"/>
        </w:rPr>
        <w:t xml:space="preserve">policy </w:t>
      </w:r>
      <w:r w:rsidR="00A80A39">
        <w:rPr>
          <w:rStyle w:val="BodyText2Char"/>
          <w:rFonts w:asciiTheme="majorHAnsi" w:hAnsiTheme="majorHAnsi" w:cstheme="majorHAnsi"/>
          <w:bCs/>
          <w:sz w:val="22"/>
          <w:szCs w:val="22"/>
        </w:rPr>
        <w:t>are found:</w:t>
      </w:r>
      <w:r w:rsidRPr="00E55BFE">
        <w:rPr>
          <w:rStyle w:val="BodyText2Char"/>
          <w:rFonts w:asciiTheme="majorHAnsi" w:hAnsiTheme="majorHAnsi" w:cstheme="majorHAnsi"/>
          <w:bCs/>
          <w:sz w:val="22"/>
          <w:szCs w:val="22"/>
        </w:rPr>
        <w:t xml:space="preserve"> </w:t>
      </w:r>
      <w:hyperlink r:id="rId25" w:history="1">
        <w:r w:rsidRPr="00BC358E">
          <w:rPr>
            <w:rStyle w:val="Hyperlink"/>
            <w:rFonts w:asciiTheme="majorHAnsi" w:hAnsiTheme="majorHAnsi" w:cstheme="majorHAnsi"/>
            <w:bCs/>
            <w:sz w:val="22"/>
            <w:szCs w:val="22"/>
          </w:rPr>
          <w:t>SOPs</w:t>
        </w:r>
      </w:hyperlink>
      <w:r w:rsidRPr="00E55BFE">
        <w:rPr>
          <w:rStyle w:val="BodyText2Char"/>
          <w:rFonts w:asciiTheme="majorHAnsi" w:hAnsiTheme="majorHAnsi" w:cstheme="majorHAnsi"/>
          <w:bCs/>
          <w:sz w:val="22"/>
          <w:szCs w:val="22"/>
        </w:rPr>
        <w:t>,</w:t>
      </w:r>
      <w:r w:rsidRPr="00E55BFE">
        <w:rPr>
          <w:rFonts w:asciiTheme="majorHAnsi" w:hAnsiTheme="majorHAnsi" w:cstheme="majorHAnsi"/>
          <w:sz w:val="22"/>
          <w:szCs w:val="22"/>
        </w:rPr>
        <w:t xml:space="preserve"> </w:t>
      </w:r>
      <w:hyperlink r:id="rId26" w:history="1">
        <w:r w:rsidRPr="00E55BFE">
          <w:rPr>
            <w:rStyle w:val="Hyperlink"/>
            <w:rFonts w:asciiTheme="majorHAnsi" w:hAnsiTheme="majorHAnsi" w:cstheme="majorHAnsi"/>
            <w:color w:val="0000FF"/>
            <w:sz w:val="22"/>
            <w:szCs w:val="22"/>
          </w:rPr>
          <w:t>OSHA</w:t>
        </w:r>
      </w:hyperlink>
      <w:r w:rsidRPr="00E55BFE">
        <w:rPr>
          <w:rFonts w:asciiTheme="majorHAnsi" w:hAnsiTheme="majorHAnsi" w:cstheme="majorHAnsi"/>
          <w:sz w:val="22"/>
          <w:szCs w:val="22"/>
        </w:rPr>
        <w:t xml:space="preserve">, </w:t>
      </w:r>
      <w:hyperlink r:id="rId27" w:history="1">
        <w:r w:rsidRPr="00E55BFE">
          <w:rPr>
            <w:rStyle w:val="Hyperlink"/>
            <w:rFonts w:asciiTheme="majorHAnsi" w:hAnsiTheme="majorHAnsi" w:cstheme="majorHAnsi"/>
            <w:color w:val="0000FF"/>
            <w:sz w:val="22"/>
            <w:szCs w:val="22"/>
          </w:rPr>
          <w:t>EPA</w:t>
        </w:r>
      </w:hyperlink>
      <w:r w:rsidRPr="00E55BFE">
        <w:rPr>
          <w:rStyle w:val="Hyperlink"/>
          <w:rFonts w:asciiTheme="majorHAnsi" w:hAnsiTheme="majorHAnsi" w:cstheme="majorHAnsi"/>
          <w:sz w:val="22"/>
          <w:szCs w:val="22"/>
          <w:u w:val="none"/>
        </w:rPr>
        <w:t xml:space="preserve"> </w:t>
      </w:r>
      <w:r w:rsidRPr="00E55BFE">
        <w:rPr>
          <w:rFonts w:asciiTheme="majorHAnsi" w:hAnsiTheme="majorHAnsi" w:cstheme="majorHAnsi"/>
          <w:sz w:val="22"/>
          <w:szCs w:val="22"/>
          <w:lang w:val="en"/>
        </w:rPr>
        <w:t xml:space="preserve">and </w:t>
      </w:r>
      <w:hyperlink r:id="rId28" w:history="1">
        <w:r w:rsidRPr="00E55BFE">
          <w:rPr>
            <w:rStyle w:val="Hyperlink"/>
            <w:rFonts w:asciiTheme="majorHAnsi" w:hAnsiTheme="majorHAnsi" w:cstheme="majorHAnsi"/>
            <w:color w:val="0000FF"/>
            <w:sz w:val="22"/>
            <w:szCs w:val="22"/>
            <w:lang w:val="en"/>
          </w:rPr>
          <w:t>DOT</w:t>
        </w:r>
      </w:hyperlink>
      <w:r w:rsidRPr="00E55BFE">
        <w:rPr>
          <w:rStyle w:val="Hyperlink"/>
          <w:rFonts w:asciiTheme="majorHAnsi" w:hAnsiTheme="majorHAnsi" w:cstheme="majorHAnsi"/>
          <w:sz w:val="22"/>
          <w:szCs w:val="22"/>
          <w:lang w:val="en"/>
        </w:rPr>
        <w:t>.</w:t>
      </w:r>
    </w:p>
    <w:p w14:paraId="007D36DC" w14:textId="6A834011" w:rsidR="009B0111" w:rsidRPr="00E55BFE" w:rsidRDefault="009B0111" w:rsidP="00EF2184">
      <w:pPr>
        <w:pStyle w:val="BodyText"/>
        <w:ind w:left="360"/>
        <w:rPr>
          <w:rFonts w:asciiTheme="majorHAnsi" w:hAnsiTheme="majorHAnsi" w:cstheme="majorHAnsi"/>
          <w:sz w:val="22"/>
          <w:szCs w:val="22"/>
        </w:rPr>
      </w:pPr>
    </w:p>
    <w:sectPr w:rsidR="009B0111" w:rsidRPr="00E55BFE" w:rsidSect="0020612C">
      <w:footerReference w:type="default" r:id="rId29"/>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BAC2" w14:textId="77777777" w:rsidR="00EC4993" w:rsidRDefault="00EC4993">
      <w:r>
        <w:separator/>
      </w:r>
    </w:p>
  </w:endnote>
  <w:endnote w:type="continuationSeparator" w:id="0">
    <w:p w14:paraId="06A6BC58" w14:textId="77777777" w:rsidR="00EC4993" w:rsidRDefault="00EC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8AC7" w14:textId="62B8F222" w:rsidR="00542724" w:rsidRDefault="00AE0ABD" w:rsidP="00542724">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w:t>
    </w:r>
    <w:r w:rsidR="00542724" w:rsidRPr="00542724">
      <w:rPr>
        <w:rFonts w:ascii="Calibri Light" w:hAnsi="Calibri Light" w:cs="Calibri Light"/>
        <w:iCs/>
        <w:sz w:val="18"/>
        <w:szCs w:val="18"/>
      </w:rPr>
      <w:t xml:space="preserve"> 4.01 Receiving Waste</w:t>
    </w:r>
    <w:r w:rsidR="00542724">
      <w:rPr>
        <w:rFonts w:ascii="Calibri Light" w:hAnsi="Calibri Light" w:cs="Calibri Light"/>
        <w:iCs/>
        <w:sz w:val="18"/>
        <w:szCs w:val="18"/>
      </w:rPr>
      <w:tab/>
      <w:t xml:space="preserve">May </w:t>
    </w:r>
    <w:r w:rsidR="00BC358E">
      <w:rPr>
        <w:rFonts w:ascii="Calibri Light" w:hAnsi="Calibri Light" w:cs="Calibri Light"/>
        <w:iCs/>
        <w:sz w:val="18"/>
        <w:szCs w:val="18"/>
      </w:rPr>
      <w:t>2025 |</w:t>
    </w:r>
    <w:r w:rsidR="00BC358E" w:rsidRPr="00A14CB7">
      <w:rPr>
        <w:rFonts w:ascii="Calibri Light" w:hAnsi="Calibri Light" w:cs="Calibri Light"/>
        <w:sz w:val="18"/>
        <w:szCs w:val="18"/>
      </w:rPr>
      <w:t xml:space="preserve"> w</w:t>
    </w:r>
    <w:r w:rsidR="00542724" w:rsidRPr="00AE0ABD">
      <w:rPr>
        <w:rFonts w:ascii="Calibri Light" w:hAnsi="Calibri Light" w:cs="Calibri Light"/>
        <w:sz w:val="18"/>
        <w:szCs w:val="18"/>
      </w:rPr>
      <w:t>-hhwsop</w:t>
    </w:r>
    <w:r w:rsidR="00542724">
      <w:rPr>
        <w:rFonts w:ascii="Calibri Light" w:hAnsi="Calibri Light" w:cs="Calibri Light"/>
        <w:sz w:val="18"/>
        <w:szCs w:val="18"/>
      </w:rPr>
      <w:t>4-01</w:t>
    </w:r>
  </w:p>
  <w:p w14:paraId="0B28523A" w14:textId="6820B2FE" w:rsidR="00AE0ABD" w:rsidRDefault="00AE0AB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ab/>
    </w:r>
  </w:p>
  <w:p w14:paraId="24E73BE3"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D2D1B" w14:textId="77777777" w:rsidR="00EC4993" w:rsidRDefault="00EC4993">
      <w:r>
        <w:separator/>
      </w:r>
    </w:p>
  </w:footnote>
  <w:footnote w:type="continuationSeparator" w:id="0">
    <w:p w14:paraId="1591BFCC" w14:textId="77777777" w:rsidR="00EC4993" w:rsidRDefault="00EC4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2"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4"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5"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4"/>
  </w:num>
  <w:num w:numId="2" w16cid:durableId="821434402">
    <w:abstractNumId w:val="0"/>
  </w:num>
  <w:num w:numId="3" w16cid:durableId="270094992">
    <w:abstractNumId w:val="3"/>
  </w:num>
  <w:num w:numId="4" w16cid:durableId="560406482">
    <w:abstractNumId w:val="6"/>
  </w:num>
  <w:num w:numId="5" w16cid:durableId="2134013816">
    <w:abstractNumId w:val="1"/>
  </w:num>
  <w:num w:numId="6" w16cid:durableId="195241025">
    <w:abstractNumId w:val="2"/>
  </w:num>
  <w:num w:numId="7" w16cid:durableId="114761922">
    <w:abstractNumId w:val="7"/>
  </w:num>
  <w:num w:numId="8" w16cid:durableId="1096168710">
    <w:abstractNumId w:val="5"/>
  </w:num>
  <w:num w:numId="9" w16cid:durableId="162446194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84"/>
    <w:rsid w:val="0000442F"/>
    <w:rsid w:val="00035F36"/>
    <w:rsid w:val="000415D1"/>
    <w:rsid w:val="00055E16"/>
    <w:rsid w:val="000A2FFA"/>
    <w:rsid w:val="000D2548"/>
    <w:rsid w:val="000D376D"/>
    <w:rsid w:val="000D46B4"/>
    <w:rsid w:val="000E41B9"/>
    <w:rsid w:val="000E68D6"/>
    <w:rsid w:val="00125903"/>
    <w:rsid w:val="00143B38"/>
    <w:rsid w:val="00146D50"/>
    <w:rsid w:val="001B78A9"/>
    <w:rsid w:val="001D6BD2"/>
    <w:rsid w:val="001E0547"/>
    <w:rsid w:val="001E3818"/>
    <w:rsid w:val="001F13CE"/>
    <w:rsid w:val="0020612C"/>
    <w:rsid w:val="00227DEB"/>
    <w:rsid w:val="002622CE"/>
    <w:rsid w:val="00274769"/>
    <w:rsid w:val="002A4BD4"/>
    <w:rsid w:val="002C188D"/>
    <w:rsid w:val="002F6599"/>
    <w:rsid w:val="003A4E13"/>
    <w:rsid w:val="003E4145"/>
    <w:rsid w:val="003E6E96"/>
    <w:rsid w:val="003F6AAD"/>
    <w:rsid w:val="00441CF6"/>
    <w:rsid w:val="0046738B"/>
    <w:rsid w:val="004762CC"/>
    <w:rsid w:val="004C2A6A"/>
    <w:rsid w:val="004D7D89"/>
    <w:rsid w:val="004F688C"/>
    <w:rsid w:val="00501E00"/>
    <w:rsid w:val="0050282D"/>
    <w:rsid w:val="00521A58"/>
    <w:rsid w:val="005331A9"/>
    <w:rsid w:val="00542724"/>
    <w:rsid w:val="00550470"/>
    <w:rsid w:val="00556EEB"/>
    <w:rsid w:val="00574768"/>
    <w:rsid w:val="005877EE"/>
    <w:rsid w:val="005B4B24"/>
    <w:rsid w:val="005F3FE4"/>
    <w:rsid w:val="00615161"/>
    <w:rsid w:val="0061567E"/>
    <w:rsid w:val="006240BF"/>
    <w:rsid w:val="00646449"/>
    <w:rsid w:val="006A7D52"/>
    <w:rsid w:val="006B2E99"/>
    <w:rsid w:val="006B792D"/>
    <w:rsid w:val="006C2B3A"/>
    <w:rsid w:val="006C4998"/>
    <w:rsid w:val="006E238C"/>
    <w:rsid w:val="006F16C9"/>
    <w:rsid w:val="007623E1"/>
    <w:rsid w:val="00800D6B"/>
    <w:rsid w:val="00820377"/>
    <w:rsid w:val="008215EA"/>
    <w:rsid w:val="00844AAF"/>
    <w:rsid w:val="00871406"/>
    <w:rsid w:val="00884DAF"/>
    <w:rsid w:val="008A5F69"/>
    <w:rsid w:val="008B0FB5"/>
    <w:rsid w:val="008B1923"/>
    <w:rsid w:val="008D269C"/>
    <w:rsid w:val="008D7C42"/>
    <w:rsid w:val="008F69FD"/>
    <w:rsid w:val="00932291"/>
    <w:rsid w:val="009439BF"/>
    <w:rsid w:val="00991AA3"/>
    <w:rsid w:val="009A09F9"/>
    <w:rsid w:val="009B0111"/>
    <w:rsid w:val="009E352A"/>
    <w:rsid w:val="009F4579"/>
    <w:rsid w:val="00A14CB7"/>
    <w:rsid w:val="00A42A8B"/>
    <w:rsid w:val="00A45D24"/>
    <w:rsid w:val="00A54B45"/>
    <w:rsid w:val="00A66029"/>
    <w:rsid w:val="00A6657E"/>
    <w:rsid w:val="00A77EAF"/>
    <w:rsid w:val="00A80A39"/>
    <w:rsid w:val="00AA4C5A"/>
    <w:rsid w:val="00AA5282"/>
    <w:rsid w:val="00AC0A74"/>
    <w:rsid w:val="00AC5594"/>
    <w:rsid w:val="00AC7452"/>
    <w:rsid w:val="00AD2477"/>
    <w:rsid w:val="00AD3851"/>
    <w:rsid w:val="00AE0ABD"/>
    <w:rsid w:val="00AF069F"/>
    <w:rsid w:val="00B0090C"/>
    <w:rsid w:val="00B47171"/>
    <w:rsid w:val="00B549EA"/>
    <w:rsid w:val="00B57E1E"/>
    <w:rsid w:val="00B67FE2"/>
    <w:rsid w:val="00B905E6"/>
    <w:rsid w:val="00B96231"/>
    <w:rsid w:val="00BC331B"/>
    <w:rsid w:val="00BC358E"/>
    <w:rsid w:val="00BF062A"/>
    <w:rsid w:val="00BF5805"/>
    <w:rsid w:val="00C1041A"/>
    <w:rsid w:val="00C13911"/>
    <w:rsid w:val="00C52A57"/>
    <w:rsid w:val="00C54FB8"/>
    <w:rsid w:val="00C9583F"/>
    <w:rsid w:val="00CD739A"/>
    <w:rsid w:val="00CD7974"/>
    <w:rsid w:val="00CE4C12"/>
    <w:rsid w:val="00CF6FA1"/>
    <w:rsid w:val="00D009B8"/>
    <w:rsid w:val="00D0661A"/>
    <w:rsid w:val="00D239A2"/>
    <w:rsid w:val="00D34FBD"/>
    <w:rsid w:val="00D37746"/>
    <w:rsid w:val="00D46598"/>
    <w:rsid w:val="00D47D25"/>
    <w:rsid w:val="00D85D10"/>
    <w:rsid w:val="00DC3EA8"/>
    <w:rsid w:val="00DD108D"/>
    <w:rsid w:val="00E0738D"/>
    <w:rsid w:val="00E166C3"/>
    <w:rsid w:val="00E17534"/>
    <w:rsid w:val="00E4006A"/>
    <w:rsid w:val="00E40725"/>
    <w:rsid w:val="00E55BFE"/>
    <w:rsid w:val="00E808AF"/>
    <w:rsid w:val="00E871BC"/>
    <w:rsid w:val="00E965BE"/>
    <w:rsid w:val="00EA4675"/>
    <w:rsid w:val="00EB263E"/>
    <w:rsid w:val="00EC4993"/>
    <w:rsid w:val="00ED1921"/>
    <w:rsid w:val="00EF2184"/>
    <w:rsid w:val="00F04BAD"/>
    <w:rsid w:val="00F26702"/>
    <w:rsid w:val="00F42D1F"/>
    <w:rsid w:val="00F56B33"/>
    <w:rsid w:val="00F81E72"/>
    <w:rsid w:val="00FE6BB5"/>
    <w:rsid w:val="00FF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4E9BC"/>
  <w15:chartTrackingRefBased/>
  <w15:docId w15:val="{FDB0BDC8-998D-4923-A059-746452D8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customStyle="1" w:styleId="PCATitle">
    <w:name w:val="PCA Title"/>
    <w:basedOn w:val="Normal"/>
    <w:qFormat/>
    <w:rsid w:val="00EF2184"/>
    <w:pPr>
      <w:spacing w:before="360"/>
      <w:jc w:val="center"/>
    </w:pPr>
    <w:rPr>
      <w:rFonts w:ascii="Calibri" w:eastAsia="Calibri" w:hAnsi="Calibri"/>
      <w:b/>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urrent/title-40/chapter-I/subchapter-I/part-262" TargetMode="External"/><Relationship Id="rId18" Type="http://schemas.openxmlformats.org/officeDocument/2006/relationships/hyperlink" Target="https://www.revisor.mn.gov/rules/?id=7045.0131" TargetMode="External"/><Relationship Id="rId26" Type="http://schemas.openxmlformats.org/officeDocument/2006/relationships/hyperlink" Target="https://www.osha.gov/SLTC/hazardouswaste/standards.html" TargetMode="External"/><Relationship Id="rId3" Type="http://schemas.openxmlformats.org/officeDocument/2006/relationships/styles" Target="styles.xml"/><Relationship Id="rId21" Type="http://schemas.openxmlformats.org/officeDocument/2006/relationships/hyperlink" Target="https://www.revisor.mn.gov/rules/?id=7045.0320" TargetMode="External"/><Relationship Id="rId7" Type="http://schemas.openxmlformats.org/officeDocument/2006/relationships/endnotes" Target="endnotes.xml"/><Relationship Id="rId12" Type="http://schemas.openxmlformats.org/officeDocument/2006/relationships/hyperlink" Target="https://www.bing.com/search?pglt=163&amp;q=NFPA%2FGHIS+pictograms&amp;cvid=53afb66c4fc54be8bc5546cabdb4b49f&amp;gs_lcrp=EgRlZGdlKgYIABBFGDkyBggAEEUYOTIGCAEQRRg6MggIAhDpBxj8VdIBCDUxNDNqMGoxqAIAsAIA&amp;FORM=ANNAB1&amp;PC=W099" TargetMode="External"/><Relationship Id="rId17" Type="http://schemas.openxmlformats.org/officeDocument/2006/relationships/hyperlink" Target="https://www.revisor.mn.gov/rules/?id=7045.0131&amp;format=pdf" TargetMode="External"/><Relationship Id="rId25" Type="http://schemas.openxmlformats.org/officeDocument/2006/relationships/hyperlink" Target="https://www.pca.state.mn.us/business-with-us/household-hazardous-waste-collection" TargetMode="External"/><Relationship Id="rId2" Type="http://schemas.openxmlformats.org/officeDocument/2006/relationships/numbering" Target="numbering.xml"/><Relationship Id="rId16" Type="http://schemas.openxmlformats.org/officeDocument/2006/relationships/hyperlink" Target="https://www.revisor.mn.gov/statutes/?id=473.811" TargetMode="External"/><Relationship Id="rId20" Type="http://schemas.openxmlformats.org/officeDocument/2006/relationships/hyperlink" Target="https://www.pca.state.mn.us/sites/default/files/w-hw1-07.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w-hw2-53.pdf" TargetMode="External"/><Relationship Id="rId24" Type="http://schemas.openxmlformats.org/officeDocument/2006/relationships/hyperlink" Target="https://www.revisor.mn.gov/statutes/?id=471.59" TargetMode="External"/><Relationship Id="rId5" Type="http://schemas.openxmlformats.org/officeDocument/2006/relationships/webSettings" Target="webSettings.xml"/><Relationship Id="rId15" Type="http://schemas.openxmlformats.org/officeDocument/2006/relationships/hyperlink" Target="https://www.revisor.mn.gov/statutes/?id=115a.96" TargetMode="External"/><Relationship Id="rId23" Type="http://schemas.openxmlformats.org/officeDocument/2006/relationships/hyperlink" Target="https://www.revisor.mn.gov/statutes/?id=400.161&amp;year=2016" TargetMode="External"/><Relationship Id="rId28" Type="http://schemas.openxmlformats.org/officeDocument/2006/relationships/hyperlink" Target="https://www.ecfr.gov/current/title-49/subtitle-B/chapter-I/subchapter-C/part-171" TargetMode="External"/><Relationship Id="rId10" Type="http://schemas.openxmlformats.org/officeDocument/2006/relationships/hyperlink" Target="https://www.pca.state.mn.us/sites/default/files/w-hw2-53.pdf" TargetMode="External"/><Relationship Id="rId19" Type="http://schemas.openxmlformats.org/officeDocument/2006/relationships/hyperlink" Target="https://www.pca.state.mn.us/sites/default/files/w-hw1-05.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sha.gov/laws-regs/regulations/standardnumber/1910/1910SubpartIAppB" TargetMode="External"/><Relationship Id="rId14" Type="http://schemas.openxmlformats.org/officeDocument/2006/relationships/hyperlink" Target="https://www.revisor.mn.gov/rules/?id=7045.0310" TargetMode="External"/><Relationship Id="rId22" Type="http://schemas.openxmlformats.org/officeDocument/2006/relationships/hyperlink" Target="https://www.revisor.mn.gov/rules/7045/" TargetMode="External"/><Relationship Id="rId27" Type="http://schemas.openxmlformats.org/officeDocument/2006/relationships/hyperlink" Target="https://www.epa.gov/hw/household-hazardous-waste-hhw"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lain\OneDrive%20-%20State%20of%20Minnesota%20-%20MN365\Desktop\SOP%20templateSA_Nov%202024%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templateSA_Nov 2024 - Copy</Template>
  <TotalTime>14</TotalTime>
  <Pages>1</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HHW SOP 4.01 Receiving Waste</vt:lpstr>
    </vt:vector>
  </TitlesOfParts>
  <Manager>Teresa Gilbertson, L. McLain</Manager>
  <Company>MPCA</Company>
  <LinksUpToDate>false</LinksUpToDate>
  <CharactersWithSpaces>6000</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4.01 Receiving Waste</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(PST - L. McLain)</dc:creator>
  <cp:keywords>Minnesota Pollution Control Agency, MPCA, Household Hazardous Waste, HHW, Standard Operating Procedures, SOP, Waste, w-hhwsop4-01</cp:keywords>
  <dc:description/>
  <cp:lastModifiedBy>Gilbertson, Teresa (MPCA)</cp:lastModifiedBy>
  <cp:revision>4</cp:revision>
  <dcterms:created xsi:type="dcterms:W3CDTF">2025-05-15T20:00:00Z</dcterms:created>
  <dcterms:modified xsi:type="dcterms:W3CDTF">2025-05-30T14:33:00Z</dcterms:modified>
  <cp:category>Waste, Household Hazardous Waste, Standard Operation Procedures - Training</cp:category>
</cp:coreProperties>
</file>