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bottom w:val="single" w:sz="2" w:space="0" w:color="A6A6A6"/>
          <w:insideV w:val="single" w:sz="2" w:space="0" w:color="A6A6A6"/>
        </w:tblBorders>
        <w:tblLook w:val="00A0" w:firstRow="1" w:lastRow="0" w:firstColumn="1" w:lastColumn="0" w:noHBand="0" w:noVBand="0"/>
      </w:tblPr>
      <w:tblGrid>
        <w:gridCol w:w="2482"/>
        <w:gridCol w:w="7418"/>
      </w:tblGrid>
      <w:tr w:rsidR="000648AD" w:rsidRPr="00B5499A" w14:paraId="07742639" w14:textId="77777777" w:rsidTr="000648AD">
        <w:trPr>
          <w:trHeight w:val="891"/>
        </w:trPr>
        <w:tc>
          <w:tcPr>
            <w:tcW w:w="2482" w:type="dxa"/>
            <w:tcBorders>
              <w:top w:val="nil"/>
              <w:left w:val="nil"/>
              <w:bottom w:val="single" w:sz="2" w:space="0" w:color="A6A6A6"/>
              <w:right w:val="single" w:sz="2" w:space="0" w:color="A6A6A6"/>
            </w:tcBorders>
            <w:hideMark/>
          </w:tcPr>
          <w:p w14:paraId="1668FECA" w14:textId="77777777" w:rsidR="000648AD" w:rsidRPr="00B5499A" w:rsidRDefault="000648AD" w:rsidP="000648AD">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6A680FB2" wp14:editId="5EEA3A48">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418" w:type="dxa"/>
            <w:tcBorders>
              <w:top w:val="nil"/>
              <w:left w:val="single" w:sz="2" w:space="0" w:color="A6A6A6"/>
              <w:bottom w:val="single" w:sz="2" w:space="0" w:color="A6A6A6"/>
              <w:right w:val="single" w:sz="2" w:space="0" w:color="A6A6A6"/>
            </w:tcBorders>
            <w:vAlign w:val="center"/>
          </w:tcPr>
          <w:p w14:paraId="15138856" w14:textId="297B4D71" w:rsidR="000648AD" w:rsidRPr="00B5499A" w:rsidRDefault="000648AD" w:rsidP="000648AD">
            <w:pPr>
              <w:rPr>
                <w:rFonts w:ascii="Calibri" w:eastAsia="Calibri" w:hAnsi="Calibri"/>
                <w:b/>
                <w:noProof/>
                <w:color w:val="808080"/>
                <w:sz w:val="44"/>
                <w:szCs w:val="44"/>
              </w:rPr>
            </w:pPr>
            <w:r w:rsidRPr="0033552D">
              <w:rPr>
                <w:rFonts w:asciiTheme="majorHAnsi" w:eastAsia="Calibri" w:hAnsiTheme="majorHAnsi" w:cstheme="majorHAnsi"/>
                <w:b/>
                <w:noProof/>
                <w:color w:val="808080"/>
                <w:sz w:val="44"/>
                <w:szCs w:val="44"/>
              </w:rPr>
              <w:t>SOP</w:t>
            </w:r>
            <w:r>
              <w:rPr>
                <w:rFonts w:asciiTheme="majorHAnsi" w:eastAsia="Calibri" w:hAnsiTheme="majorHAnsi" w:cstheme="majorHAnsi"/>
                <w:b/>
                <w:noProof/>
                <w:color w:val="808080"/>
                <w:sz w:val="44"/>
                <w:szCs w:val="44"/>
              </w:rPr>
              <w:t xml:space="preserve"> 3.02</w:t>
            </w:r>
            <w:r w:rsidRPr="0033552D">
              <w:rPr>
                <w:rFonts w:asciiTheme="majorHAnsi" w:eastAsia="Calibri" w:hAnsiTheme="majorHAnsi" w:cstheme="majorHAnsi"/>
                <w:b/>
                <w:noProof/>
                <w:color w:val="808080"/>
                <w:sz w:val="44"/>
                <w:szCs w:val="44"/>
              </w:rPr>
              <w:t xml:space="preserve"> </w:t>
            </w:r>
            <w:r>
              <w:rPr>
                <w:rFonts w:asciiTheme="majorHAnsi" w:eastAsia="Calibri" w:hAnsiTheme="majorHAnsi" w:cstheme="majorHAnsi"/>
                <w:b/>
                <w:noProof/>
                <w:color w:val="808080"/>
                <w:sz w:val="44"/>
                <w:szCs w:val="44"/>
              </w:rPr>
              <w:t xml:space="preserve">Storing Wastes for Greater than 90 Days - </w:t>
            </w:r>
            <w:r w:rsidRPr="00351309">
              <w:rPr>
                <w:rFonts w:asciiTheme="majorHAnsi" w:eastAsia="Calibri" w:hAnsiTheme="majorHAnsi" w:cstheme="majorHAnsi"/>
                <w:bCs/>
                <w:noProof/>
                <w:color w:val="808080"/>
                <w:sz w:val="32"/>
                <w:szCs w:val="32"/>
              </w:rPr>
              <w:t>Information for HHW Programs</w:t>
            </w:r>
          </w:p>
        </w:tc>
      </w:tr>
    </w:tbl>
    <w:p w14:paraId="509F6804" w14:textId="6B33D957" w:rsidR="000648AD" w:rsidRPr="000648AD" w:rsidRDefault="000648AD" w:rsidP="000648AD">
      <w:pPr>
        <w:spacing w:line="276" w:lineRule="auto"/>
        <w:rPr>
          <w:rFonts w:ascii="Calibri Light" w:eastAsia="Calibri" w:hAnsi="Calibri Light" w:cs="Calibri Light"/>
          <w:i/>
          <w:iCs/>
          <w:sz w:val="22"/>
          <w:szCs w:val="22"/>
        </w:rPr>
      </w:pPr>
      <w:bookmarkStart w:id="0" w:name="_Hlk215064741"/>
      <w:r w:rsidRPr="000648AD">
        <w:rPr>
          <w:rFonts w:ascii="Calibri Light" w:eastAsia="Calibri" w:hAnsi="Calibri Light" w:cs="Calibri Light"/>
          <w:i/>
          <w:iCs/>
          <w:sz w:val="22"/>
          <w:szCs w:val="22"/>
        </w:rPr>
        <w:t xml:space="preserve">Note: This guidance document is for informational purposes only and outlines basic employer requirements. The MPCA does not guarantee that this document satisfies </w:t>
      </w:r>
      <w:hyperlink r:id="rId9" w:history="1">
        <w:r w:rsidRPr="00E11FC2">
          <w:rPr>
            <w:rStyle w:val="Hyperlink"/>
            <w:rFonts w:ascii="Calibri Light" w:eastAsia="Calibri" w:hAnsi="Calibri Light" w:cs="Calibri Light"/>
            <w:i/>
            <w:iCs/>
            <w:color w:val="0000FF"/>
            <w:sz w:val="22"/>
            <w:szCs w:val="22"/>
          </w:rPr>
          <w:t>OS</w:t>
        </w:r>
        <w:r w:rsidRPr="00E11FC2">
          <w:rPr>
            <w:rStyle w:val="Hyperlink"/>
            <w:rFonts w:ascii="Calibri Light" w:eastAsia="Calibri" w:hAnsi="Calibri Light" w:cs="Calibri Light"/>
            <w:i/>
            <w:iCs/>
            <w:color w:val="0000FF"/>
            <w:sz w:val="22"/>
            <w:szCs w:val="22"/>
          </w:rPr>
          <w:t>H</w:t>
        </w:r>
        <w:r w:rsidRPr="00E11FC2">
          <w:rPr>
            <w:rStyle w:val="Hyperlink"/>
            <w:rFonts w:ascii="Calibri Light" w:eastAsia="Calibri" w:hAnsi="Calibri Light" w:cs="Calibri Light"/>
            <w:i/>
            <w:iCs/>
            <w:color w:val="0000FF"/>
            <w:sz w:val="22"/>
            <w:szCs w:val="22"/>
          </w:rPr>
          <w:t>A</w:t>
        </w:r>
      </w:hyperlink>
      <w:r w:rsidRPr="000648AD">
        <w:rPr>
          <w:rFonts w:ascii="Calibri Light" w:eastAsia="Calibri" w:hAnsi="Calibri Light" w:cs="Calibri Light"/>
          <w:i/>
          <w:iCs/>
          <w:sz w:val="22"/>
          <w:szCs w:val="22"/>
        </w:rPr>
        <w:t xml:space="preserve"> and </w:t>
      </w:r>
      <w:hyperlink r:id="rId10" w:history="1">
        <w:r w:rsidRPr="00E11FC2">
          <w:rPr>
            <w:rStyle w:val="Hyperlink"/>
            <w:rFonts w:ascii="Calibri Light" w:eastAsia="Calibri" w:hAnsi="Calibri Light" w:cs="Calibri Light"/>
            <w:i/>
            <w:iCs/>
            <w:color w:val="0000FF"/>
            <w:sz w:val="22"/>
            <w:szCs w:val="22"/>
          </w:rPr>
          <w:t>RC</w:t>
        </w:r>
        <w:r w:rsidRPr="00E11FC2">
          <w:rPr>
            <w:rStyle w:val="Hyperlink"/>
            <w:rFonts w:ascii="Calibri Light" w:eastAsia="Calibri" w:hAnsi="Calibri Light" w:cs="Calibri Light"/>
            <w:i/>
            <w:iCs/>
            <w:color w:val="0000FF"/>
            <w:sz w:val="22"/>
            <w:szCs w:val="22"/>
          </w:rPr>
          <w:t>R</w:t>
        </w:r>
        <w:r w:rsidRPr="00E11FC2">
          <w:rPr>
            <w:rStyle w:val="Hyperlink"/>
            <w:rFonts w:ascii="Calibri Light" w:eastAsia="Calibri" w:hAnsi="Calibri Light" w:cs="Calibri Light"/>
            <w:i/>
            <w:iCs/>
            <w:color w:val="0000FF"/>
            <w:sz w:val="22"/>
            <w:szCs w:val="22"/>
          </w:rPr>
          <w:t>A</w:t>
        </w:r>
      </w:hyperlink>
      <w:r w:rsidRPr="000648AD">
        <w:rPr>
          <w:rFonts w:ascii="Calibri Light" w:eastAsia="Calibri" w:hAnsi="Calibri Light" w:cs="Calibri Light"/>
          <w:i/>
          <w:iCs/>
          <w:color w:val="4472C4" w:themeColor="accent1"/>
          <w:sz w:val="22"/>
          <w:szCs w:val="22"/>
        </w:rPr>
        <w:t xml:space="preserve"> </w:t>
      </w:r>
      <w:r w:rsidRPr="000648AD">
        <w:rPr>
          <w:rFonts w:ascii="Calibri Light" w:eastAsia="Calibri" w:hAnsi="Calibri Light" w:cs="Calibri Light"/>
          <w:i/>
          <w:iCs/>
          <w:sz w:val="22"/>
          <w:szCs w:val="22"/>
        </w:rPr>
        <w:t xml:space="preserve">compliance; it is the sole responsibility of county-specific Household Hazardous Waste (HHW) Program employer to determine if all requirements have been met. </w:t>
      </w:r>
      <w:bookmarkStart w:id="1" w:name="OLE_LINK1"/>
    </w:p>
    <w:bookmarkEnd w:id="0"/>
    <w:bookmarkEnd w:id="1"/>
    <w:p w14:paraId="0DEB0C30" w14:textId="09C25C75"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68100CF2" w14:textId="77777777" w:rsidR="000648AD" w:rsidRPr="00E11FC2" w:rsidRDefault="000648AD" w:rsidP="000648AD">
      <w:pPr>
        <w:spacing w:line="276" w:lineRule="auto"/>
        <w:ind w:left="360"/>
        <w:rPr>
          <w:rFonts w:asciiTheme="majorHAnsi" w:hAnsiTheme="majorHAnsi" w:cstheme="majorHAnsi"/>
          <w:sz w:val="22"/>
          <w:szCs w:val="22"/>
        </w:rPr>
      </w:pPr>
      <w:r w:rsidRPr="00E11FC2">
        <w:rPr>
          <w:rFonts w:asciiTheme="majorHAnsi" w:hAnsiTheme="majorHAnsi" w:cstheme="majorHAnsi"/>
          <w:sz w:val="22"/>
          <w:szCs w:val="22"/>
        </w:rPr>
        <w:t xml:space="preserve">Prior to accepting HHW from another HHW facility, or storing HHW onsite for more than 90 days, this Program must obtain written approval from the State at least 30 days in advance. The HHW Program license may permit the acceptance of waste from other counties as specified by </w:t>
      </w:r>
      <w:hyperlink r:id="rId11" w:history="1">
        <w:r w:rsidRPr="00E11FC2">
          <w:rPr>
            <w:rStyle w:val="Hyperlink"/>
            <w:rFonts w:asciiTheme="majorHAnsi" w:hAnsiTheme="majorHAnsi" w:cstheme="majorHAnsi"/>
            <w:color w:val="0000FF"/>
            <w:sz w:val="22"/>
            <w:szCs w:val="22"/>
          </w:rPr>
          <w:t>state requirements</w:t>
        </w:r>
      </w:hyperlink>
      <w:r w:rsidRPr="00E11FC2">
        <w:rPr>
          <w:rFonts w:asciiTheme="majorHAnsi" w:hAnsiTheme="majorHAnsi" w:cstheme="majorHAnsi"/>
          <w:color w:val="0000FF"/>
          <w:sz w:val="22"/>
          <w:szCs w:val="22"/>
        </w:rPr>
        <w:t>.</w:t>
      </w:r>
      <w:r w:rsidRPr="00E11FC2">
        <w:rPr>
          <w:rFonts w:asciiTheme="majorHAnsi" w:hAnsiTheme="majorHAnsi" w:cstheme="majorHAnsi"/>
          <w:color w:val="4472C4" w:themeColor="accent1"/>
          <w:sz w:val="22"/>
          <w:szCs w:val="22"/>
        </w:rPr>
        <w:t xml:space="preserve"> </w:t>
      </w:r>
      <w:r w:rsidRPr="00E11FC2">
        <w:rPr>
          <w:rFonts w:asciiTheme="majorHAnsi" w:hAnsiTheme="majorHAnsi" w:cstheme="majorHAnsi"/>
          <w:sz w:val="22"/>
          <w:szCs w:val="22"/>
        </w:rPr>
        <w:t>This Facility shall also develop, maintain, and implement an Emergency Contingency Plan and</w:t>
      </w:r>
      <w:hyperlink r:id="rId12" w:history="1">
        <w:r w:rsidRPr="00E11FC2">
          <w:rPr>
            <w:rStyle w:val="Hyperlink"/>
            <w:rFonts w:asciiTheme="majorHAnsi" w:hAnsiTheme="majorHAnsi" w:cstheme="majorHAnsi"/>
            <w:color w:val="0000FF"/>
            <w:sz w:val="22"/>
            <w:szCs w:val="22"/>
          </w:rPr>
          <w:t xml:space="preserve"> SOPs</w:t>
        </w:r>
      </w:hyperlink>
      <w:r w:rsidRPr="00E11FC2">
        <w:rPr>
          <w:rFonts w:asciiTheme="majorHAnsi" w:hAnsiTheme="majorHAnsi" w:cstheme="majorHAnsi"/>
          <w:color w:val="4472C4" w:themeColor="accent1"/>
          <w:sz w:val="22"/>
          <w:szCs w:val="22"/>
        </w:rPr>
        <w:t xml:space="preserve"> </w:t>
      </w:r>
      <w:r w:rsidRPr="00E11FC2">
        <w:rPr>
          <w:rFonts w:asciiTheme="majorHAnsi" w:hAnsiTheme="majorHAnsi" w:cstheme="majorHAnsi"/>
          <w:sz w:val="22"/>
          <w:szCs w:val="22"/>
        </w:rPr>
        <w:t>specific to this Program. The designated staff person to implement this HHW SOP is [</w:t>
      </w:r>
      <w:r w:rsidRPr="00E11FC2">
        <w:rPr>
          <w:rFonts w:asciiTheme="majorHAnsi" w:hAnsiTheme="majorHAnsi" w:cstheme="majorHAnsi"/>
          <w:sz w:val="22"/>
          <w:szCs w:val="22"/>
          <w:highlight w:val="yellow"/>
        </w:rPr>
        <w:t>________________________]</w:t>
      </w:r>
      <w:r w:rsidRPr="00E11FC2">
        <w:rPr>
          <w:rFonts w:asciiTheme="majorHAnsi" w:hAnsiTheme="majorHAnsi" w:cstheme="majorHAnsi"/>
          <w:sz w:val="22"/>
          <w:szCs w:val="22"/>
        </w:rPr>
        <w:t>.</w:t>
      </w:r>
    </w:p>
    <w:p w14:paraId="4D70D0C7" w14:textId="00E6D717" w:rsidR="00A54B45" w:rsidRPr="00E55BFE" w:rsidRDefault="008B1923" w:rsidP="008B1923">
      <w:pPr>
        <w:pStyle w:val="Heading1"/>
        <w:tabs>
          <w:tab w:val="left" w:pos="360"/>
          <w:tab w:val="left" w:pos="720"/>
        </w:tabs>
        <w:spacing w:before="360"/>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2</w:t>
      </w:r>
      <w:r w:rsidR="00A54B45" w:rsidRPr="00E55BFE">
        <w:rPr>
          <w:rStyle w:val="BodyText2Char"/>
          <w:rFonts w:asciiTheme="majorHAnsi" w:hAnsiTheme="majorHAnsi" w:cstheme="majorHAnsi"/>
          <w:bCs/>
          <w:sz w:val="22"/>
          <w:szCs w:val="22"/>
        </w:rPr>
        <w:t>.</w:t>
      </w:r>
      <w:r w:rsidRPr="00E55BFE">
        <w:rPr>
          <w:rStyle w:val="BodyText2Char"/>
          <w:rFonts w:asciiTheme="majorHAnsi" w:hAnsiTheme="majorHAnsi" w:cstheme="majorHAnsi"/>
          <w:bCs/>
          <w:sz w:val="22"/>
          <w:szCs w:val="22"/>
        </w:rPr>
        <w:tab/>
      </w:r>
      <w:r w:rsidR="000648AD" w:rsidRPr="001E0626">
        <w:rPr>
          <w:rFonts w:ascii="Calibri Light" w:hAnsi="Calibri Light" w:cs="Calibri Light"/>
          <w:bCs/>
          <w:sz w:val="22"/>
          <w:szCs w:val="22"/>
        </w:rPr>
        <w:t>Greater-Than-90-Day Site Standards</w:t>
      </w:r>
    </w:p>
    <w:p w14:paraId="3B6C8091" w14:textId="77777777" w:rsidR="000648AD" w:rsidRPr="00AD3B87" w:rsidRDefault="000648AD" w:rsidP="00E11FC2">
      <w:pPr>
        <w:tabs>
          <w:tab w:val="left" w:pos="360"/>
        </w:tabs>
        <w:spacing w:before="120" w:after="120" w:line="276" w:lineRule="auto"/>
        <w:ind w:left="360"/>
        <w:rPr>
          <w:rFonts w:ascii="Calibri Light" w:hAnsi="Calibri Light" w:cs="Calibri Light"/>
          <w:b/>
          <w:bCs/>
          <w:sz w:val="22"/>
          <w:szCs w:val="22"/>
        </w:rPr>
      </w:pPr>
      <w:bookmarkStart w:id="2" w:name="1960.12(a)"/>
      <w:bookmarkEnd w:id="2"/>
      <w:r w:rsidRPr="001E2B52">
        <w:rPr>
          <w:rFonts w:ascii="Calibri Light" w:hAnsi="Calibri Light" w:cs="Calibri Light"/>
          <w:b/>
          <w:bCs/>
          <w:sz w:val="22"/>
          <w:szCs w:val="22"/>
        </w:rPr>
        <w:t>2</w:t>
      </w:r>
      <w:r w:rsidRPr="00AD3B87">
        <w:rPr>
          <w:rFonts w:ascii="Calibri Light" w:hAnsi="Calibri Light" w:cs="Calibri Light"/>
          <w:b/>
          <w:bCs/>
          <w:sz w:val="22"/>
          <w:szCs w:val="22"/>
        </w:rPr>
        <w:t xml:space="preserve">.1 </w:t>
      </w:r>
      <w:r>
        <w:rPr>
          <w:rFonts w:ascii="Calibri Light" w:hAnsi="Calibri Light" w:cs="Calibri Light"/>
          <w:b/>
          <w:bCs/>
          <w:sz w:val="22"/>
          <w:szCs w:val="22"/>
        </w:rPr>
        <w:tab/>
      </w:r>
      <w:r w:rsidRPr="00AD3B87">
        <w:rPr>
          <w:rFonts w:ascii="Calibri Light" w:hAnsi="Calibri Light" w:cs="Calibri Light"/>
          <w:b/>
          <w:bCs/>
          <w:sz w:val="22"/>
          <w:szCs w:val="22"/>
        </w:rPr>
        <w:t>Construction and Storage Specifications</w:t>
      </w:r>
    </w:p>
    <w:p w14:paraId="2D7DA52D" w14:textId="77777777" w:rsidR="000648AD" w:rsidRDefault="000648AD" w:rsidP="000648AD">
      <w:pPr>
        <w:spacing w:line="276" w:lineRule="auto"/>
        <w:ind w:left="360" w:firstLine="360"/>
        <w:rPr>
          <w:rFonts w:ascii="Calibri Light" w:hAnsi="Calibri Light" w:cs="Calibri Light"/>
          <w:sz w:val="22"/>
          <w:szCs w:val="22"/>
        </w:rPr>
      </w:pPr>
      <w:r w:rsidRPr="00AD3B87">
        <w:rPr>
          <w:rFonts w:ascii="Calibri Light" w:hAnsi="Calibri Light" w:cs="Calibri Light"/>
          <w:sz w:val="22"/>
          <w:szCs w:val="22"/>
        </w:rPr>
        <w:t>Program staff shall ensure that this HHW Facility meets the following standards:</w:t>
      </w:r>
    </w:p>
    <w:p w14:paraId="4836806B"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Located more than 150 feet from any water supply well.</w:t>
      </w:r>
    </w:p>
    <w:p w14:paraId="6DE9773D"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Maintains restricted access to prevent unauthorized entry.</w:t>
      </w:r>
    </w:p>
    <w:p w14:paraId="30904E5B"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Provides receiving, sorting, packaging, and storage areas with impermeable flooring coated with chemically resistant epoxy.</w:t>
      </w:r>
    </w:p>
    <w:p w14:paraId="2B1AC1D1"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Contains no floor drains that lead to a sewer system or the environment within waste processing areas.</w:t>
      </w:r>
    </w:p>
    <w:p w14:paraId="3C8A30B7"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Stores ignitable wastes in buildings located at least 50 feet from the property line, unless a written waiver is obtained from the local fire marshal and/or building officials.</w:t>
      </w:r>
    </w:p>
    <w:p w14:paraId="1C7BA264"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Complies with local zoning, building codes, fire codes, and OSHA requirements, including:</w:t>
      </w:r>
    </w:p>
    <w:p w14:paraId="4E119BDC" w14:textId="77777777" w:rsidR="000648AD" w:rsidRPr="00C925EB" w:rsidRDefault="000648AD" w:rsidP="000648AD">
      <w:pPr>
        <w:pStyle w:val="PCABulletLevel2"/>
        <w:numPr>
          <w:ilvl w:val="2"/>
          <w:numId w:val="12"/>
        </w:numPr>
        <w:spacing w:line="276" w:lineRule="auto"/>
        <w:ind w:left="1800"/>
        <w:rPr>
          <w:rFonts w:asciiTheme="majorHAnsi" w:hAnsiTheme="majorHAnsi" w:cstheme="majorHAnsi"/>
          <w:sz w:val="22"/>
          <w:szCs w:val="22"/>
        </w:rPr>
      </w:pPr>
      <w:r w:rsidRPr="00C925EB">
        <w:rPr>
          <w:rFonts w:asciiTheme="majorHAnsi" w:hAnsiTheme="majorHAnsi" w:cstheme="majorHAnsi"/>
          <w:sz w:val="22"/>
          <w:szCs w:val="22"/>
        </w:rPr>
        <w:t>Explosion-proof equipment</w:t>
      </w:r>
    </w:p>
    <w:p w14:paraId="14953658" w14:textId="77777777" w:rsidR="000648AD" w:rsidRPr="00C925EB" w:rsidRDefault="000648AD" w:rsidP="000648AD">
      <w:pPr>
        <w:pStyle w:val="PCABulletLevel2"/>
        <w:numPr>
          <w:ilvl w:val="2"/>
          <w:numId w:val="12"/>
        </w:numPr>
        <w:spacing w:line="276" w:lineRule="auto"/>
        <w:ind w:left="1800"/>
        <w:rPr>
          <w:rFonts w:asciiTheme="majorHAnsi" w:hAnsiTheme="majorHAnsi" w:cstheme="majorHAnsi"/>
          <w:sz w:val="22"/>
          <w:szCs w:val="22"/>
        </w:rPr>
      </w:pPr>
      <w:r w:rsidRPr="00C925EB">
        <w:rPr>
          <w:rFonts w:asciiTheme="majorHAnsi" w:hAnsiTheme="majorHAnsi" w:cstheme="majorHAnsi"/>
          <w:sz w:val="22"/>
          <w:szCs w:val="22"/>
        </w:rPr>
        <w:t>Proper wiring and HVAC systems in fuel bulking area</w:t>
      </w:r>
    </w:p>
    <w:p w14:paraId="3B528544" w14:textId="77777777" w:rsidR="000648AD" w:rsidRPr="00C925EB" w:rsidRDefault="000648AD" w:rsidP="000648AD">
      <w:pPr>
        <w:pStyle w:val="PCABulletLevel2"/>
        <w:numPr>
          <w:ilvl w:val="2"/>
          <w:numId w:val="12"/>
        </w:numPr>
        <w:spacing w:line="276" w:lineRule="auto"/>
        <w:ind w:left="1800"/>
        <w:rPr>
          <w:rFonts w:asciiTheme="majorHAnsi" w:hAnsiTheme="majorHAnsi" w:cstheme="majorHAnsi"/>
          <w:sz w:val="22"/>
          <w:szCs w:val="22"/>
        </w:rPr>
      </w:pPr>
      <w:r w:rsidRPr="00C925EB">
        <w:rPr>
          <w:rFonts w:asciiTheme="majorHAnsi" w:hAnsiTheme="majorHAnsi" w:cstheme="majorHAnsi"/>
          <w:sz w:val="22"/>
          <w:szCs w:val="22"/>
        </w:rPr>
        <w:t>Fire suppression equipment</w:t>
      </w:r>
    </w:p>
    <w:p w14:paraId="67CF5D7D" w14:textId="77777777" w:rsidR="000648AD" w:rsidRPr="00C925EB" w:rsidRDefault="000648AD" w:rsidP="000648AD">
      <w:pPr>
        <w:pStyle w:val="PCABulletLevel2"/>
        <w:numPr>
          <w:ilvl w:val="2"/>
          <w:numId w:val="12"/>
        </w:numPr>
        <w:spacing w:line="276" w:lineRule="auto"/>
        <w:ind w:left="1800"/>
        <w:rPr>
          <w:rFonts w:asciiTheme="majorHAnsi" w:hAnsiTheme="majorHAnsi" w:cstheme="majorHAnsi"/>
          <w:sz w:val="22"/>
          <w:szCs w:val="22"/>
        </w:rPr>
      </w:pPr>
      <w:r w:rsidRPr="00C925EB">
        <w:rPr>
          <w:rFonts w:asciiTheme="majorHAnsi" w:hAnsiTheme="majorHAnsi" w:cstheme="majorHAnsi"/>
          <w:sz w:val="22"/>
          <w:szCs w:val="22"/>
        </w:rPr>
        <w:t>Grounding and bonding of containers in fuel processing and storage areas</w:t>
      </w:r>
    </w:p>
    <w:p w14:paraId="194271CF"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Provides adequate ventilation to ensure safe air quality and fire prevention, with a minimum rate of 1 cubic foot per minute per square foot of floor space for Class I liquids or liquids with a flashpoint between 0°F and 100°F when bulked indoors.</w:t>
      </w:r>
    </w:p>
    <w:p w14:paraId="2514CD2B"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 xml:space="preserve">Ensures sufficient storage space so that all HW containers remain fully visible for </w:t>
      </w:r>
      <w:hyperlink r:id="rId13" w:history="1">
        <w:r w:rsidRPr="00E11FC2">
          <w:rPr>
            <w:rFonts w:asciiTheme="majorHAnsi" w:hAnsiTheme="majorHAnsi" w:cstheme="majorHAnsi"/>
            <w:sz w:val="22"/>
            <w:szCs w:val="22"/>
          </w:rPr>
          <w:t>inspections</w:t>
        </w:r>
      </w:hyperlink>
      <w:r w:rsidRPr="00E11FC2">
        <w:rPr>
          <w:rFonts w:asciiTheme="majorHAnsi" w:hAnsiTheme="majorHAnsi" w:cstheme="majorHAnsi"/>
          <w:sz w:val="22"/>
          <w:szCs w:val="22"/>
        </w:rPr>
        <w:t xml:space="preserve"> </w:t>
      </w:r>
      <w:r w:rsidRPr="00AD3B87">
        <w:rPr>
          <w:rFonts w:ascii="Calibri Light" w:hAnsi="Calibri Light" w:cs="Calibri Light"/>
          <w:sz w:val="22"/>
          <w:szCs w:val="22"/>
        </w:rPr>
        <w:t>(labels, markings, condition, and potential spillage)</w:t>
      </w:r>
      <w:r>
        <w:rPr>
          <w:rFonts w:ascii="Calibri Light" w:hAnsi="Calibri Light" w:cs="Calibri Light"/>
          <w:sz w:val="22"/>
          <w:szCs w:val="22"/>
        </w:rPr>
        <w:t>.</w:t>
      </w:r>
    </w:p>
    <w:p w14:paraId="2A0FC297"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Segregates containers of incompatible liquids using secondary containment (e.g., dikes, berms, curbs, walls) or maintains a minimum 10-foot separation.</w:t>
      </w:r>
    </w:p>
    <w:p w14:paraId="39A8D7C6"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Ground</w:t>
      </w:r>
      <w:r>
        <w:rPr>
          <w:rFonts w:ascii="Calibri Light" w:hAnsi="Calibri Light" w:cs="Calibri Light"/>
          <w:sz w:val="22"/>
          <w:szCs w:val="22"/>
        </w:rPr>
        <w:t>s</w:t>
      </w:r>
      <w:r w:rsidRPr="00AD3B87">
        <w:rPr>
          <w:rFonts w:ascii="Calibri Light" w:hAnsi="Calibri Light" w:cs="Calibri Light"/>
          <w:sz w:val="22"/>
          <w:szCs w:val="22"/>
        </w:rPr>
        <w:t xml:space="preserve"> containers storing ignitable waste</w:t>
      </w:r>
      <w:r>
        <w:rPr>
          <w:rFonts w:ascii="Calibri Light" w:hAnsi="Calibri Light" w:cs="Calibri Light"/>
          <w:sz w:val="22"/>
          <w:szCs w:val="22"/>
        </w:rPr>
        <w:t>s</w:t>
      </w:r>
      <w:r w:rsidRPr="00AD3B87">
        <w:rPr>
          <w:rFonts w:ascii="Calibri Light" w:hAnsi="Calibri Light" w:cs="Calibri Light"/>
          <w:sz w:val="22"/>
          <w:szCs w:val="22"/>
        </w:rPr>
        <w:t>.</w:t>
      </w:r>
    </w:p>
    <w:p w14:paraId="7C204D0C"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lastRenderedPageBreak/>
        <w:t>Stores ignitable waste under overhead roofing or protective covering that allows label visibility and prevents public access.</w:t>
      </w:r>
    </w:p>
    <w:p w14:paraId="7E38AFFB" w14:textId="77777777" w:rsidR="000648AD" w:rsidRDefault="000648AD" w:rsidP="00E11FC2">
      <w:pPr>
        <w:numPr>
          <w:ilvl w:val="0"/>
          <w:numId w:val="10"/>
        </w:numPr>
        <w:tabs>
          <w:tab w:val="clear" w:pos="1080"/>
        </w:tabs>
        <w:spacing w:after="120" w:line="276" w:lineRule="auto"/>
        <w:ind w:left="1440"/>
        <w:rPr>
          <w:rFonts w:ascii="Calibri Light" w:hAnsi="Calibri Light" w:cs="Calibri Light"/>
          <w:sz w:val="22"/>
          <w:szCs w:val="22"/>
        </w:rPr>
      </w:pPr>
      <w:r w:rsidRPr="00AD3B87">
        <w:rPr>
          <w:rFonts w:ascii="Calibri Light" w:hAnsi="Calibri Light" w:cs="Calibri Light"/>
          <w:sz w:val="22"/>
          <w:szCs w:val="22"/>
        </w:rPr>
        <w:t>Protects wastes susceptible to freezing to maintain container integrity and prevent spills.</w:t>
      </w:r>
    </w:p>
    <w:p w14:paraId="7C063084" w14:textId="3B261C62" w:rsidR="00A54B45" w:rsidRPr="00E11FC2" w:rsidRDefault="00A54B45" w:rsidP="008B1923">
      <w:pPr>
        <w:pStyle w:val="BodyText"/>
        <w:spacing w:before="0" w:after="0" w:line="276" w:lineRule="auto"/>
        <w:ind w:left="360"/>
        <w:rPr>
          <w:rFonts w:asciiTheme="majorHAnsi" w:hAnsiTheme="majorHAnsi" w:cstheme="majorHAnsi"/>
          <w:sz w:val="22"/>
          <w:szCs w:val="22"/>
        </w:rPr>
      </w:pPr>
      <w:r w:rsidRPr="00E11FC2">
        <w:rPr>
          <w:rStyle w:val="BodyText2Char"/>
          <w:rFonts w:asciiTheme="majorHAnsi" w:hAnsiTheme="majorHAnsi" w:cstheme="majorHAnsi"/>
          <w:sz w:val="22"/>
          <w:szCs w:val="22"/>
        </w:rPr>
        <w:t xml:space="preserve">Acceptance and collection of HHW are part of a county’s overall Solid Waste (SW) Management Program. The purpose of this program is to divert the hazardous portion of household waste from the SW, to prevent releases from SW facilities to the environment through </w:t>
      </w:r>
      <w:hyperlink r:id="rId14" w:history="1">
        <w:r w:rsidRPr="00E11FC2">
          <w:rPr>
            <w:rStyle w:val="Hyperlink"/>
            <w:rFonts w:asciiTheme="majorHAnsi" w:hAnsiTheme="majorHAnsi" w:cstheme="majorHAnsi"/>
            <w:color w:val="0000FF"/>
            <w:sz w:val="22"/>
            <w:szCs w:val="22"/>
          </w:rPr>
          <w:t>leac</w:t>
        </w:r>
        <w:r w:rsidRPr="00E11FC2">
          <w:rPr>
            <w:rStyle w:val="Hyperlink"/>
            <w:rFonts w:asciiTheme="majorHAnsi" w:hAnsiTheme="majorHAnsi" w:cstheme="majorHAnsi"/>
            <w:color w:val="0000FF"/>
            <w:sz w:val="22"/>
            <w:szCs w:val="22"/>
          </w:rPr>
          <w:t>h</w:t>
        </w:r>
        <w:r w:rsidRPr="00E11FC2">
          <w:rPr>
            <w:rStyle w:val="Hyperlink"/>
            <w:rFonts w:asciiTheme="majorHAnsi" w:hAnsiTheme="majorHAnsi" w:cstheme="majorHAnsi"/>
            <w:color w:val="0000FF"/>
            <w:sz w:val="22"/>
            <w:szCs w:val="22"/>
          </w:rPr>
          <w:t>ate</w:t>
        </w:r>
      </w:hyperlink>
      <w:r w:rsidRPr="00E11FC2">
        <w:rPr>
          <w:rStyle w:val="BodyText2Char"/>
          <w:rFonts w:asciiTheme="majorHAnsi" w:hAnsiTheme="majorHAnsi" w:cstheme="majorHAnsi"/>
          <w:sz w:val="22"/>
          <w:szCs w:val="22"/>
        </w:rPr>
        <w:t xml:space="preserve">, as well as protect staff from hazardous or dangerous situations. </w:t>
      </w:r>
      <w:r w:rsidRPr="00E11FC2">
        <w:rPr>
          <w:rFonts w:asciiTheme="majorHAnsi" w:hAnsiTheme="majorHAnsi" w:cstheme="majorHAnsi"/>
          <w:sz w:val="22"/>
          <w:szCs w:val="22"/>
        </w:rPr>
        <w:t xml:space="preserve">Each county is required in section </w:t>
      </w:r>
      <w:hyperlink r:id="rId15" w:history="1">
        <w:r w:rsidRPr="00E11FC2">
          <w:rPr>
            <w:rStyle w:val="Hyperlink"/>
            <w:rFonts w:asciiTheme="majorHAnsi" w:hAnsiTheme="majorHAnsi" w:cstheme="majorHAnsi"/>
            <w:color w:val="0000FF"/>
            <w:sz w:val="22"/>
            <w:szCs w:val="22"/>
          </w:rPr>
          <w:t>115</w:t>
        </w:r>
        <w:r w:rsidRPr="00E11FC2">
          <w:rPr>
            <w:rStyle w:val="Hyperlink"/>
            <w:rFonts w:asciiTheme="majorHAnsi" w:hAnsiTheme="majorHAnsi" w:cstheme="majorHAnsi"/>
            <w:color w:val="0000FF"/>
            <w:sz w:val="22"/>
            <w:szCs w:val="22"/>
          </w:rPr>
          <w:t>A</w:t>
        </w:r>
        <w:r w:rsidRPr="00E11FC2">
          <w:rPr>
            <w:rStyle w:val="Hyperlink"/>
            <w:rFonts w:asciiTheme="majorHAnsi" w:hAnsiTheme="majorHAnsi" w:cstheme="majorHAnsi"/>
            <w:color w:val="0000FF"/>
            <w:sz w:val="22"/>
            <w:szCs w:val="22"/>
          </w:rPr>
          <w:t>.46</w:t>
        </w:r>
        <w:r w:rsidRPr="00E11FC2">
          <w:rPr>
            <w:rStyle w:val="Hyperlink"/>
            <w:rFonts w:asciiTheme="majorHAnsi" w:hAnsiTheme="majorHAnsi" w:cstheme="majorHAnsi"/>
            <w:sz w:val="22"/>
            <w:szCs w:val="22"/>
            <w:u w:val="none"/>
          </w:rPr>
          <w:t xml:space="preserve"> </w:t>
        </w:r>
      </w:hyperlink>
      <w:r w:rsidRPr="00E11FC2">
        <w:rPr>
          <w:rFonts w:asciiTheme="majorHAnsi" w:hAnsiTheme="majorHAnsi" w:cstheme="majorHAnsi"/>
          <w:sz w:val="22"/>
          <w:szCs w:val="22"/>
        </w:rPr>
        <w:t>to include in its SW management plan</w:t>
      </w:r>
      <w:r w:rsidRPr="00E11FC2">
        <w:rPr>
          <w:rStyle w:val="BodyText2Char"/>
          <w:rFonts w:asciiTheme="majorHAnsi" w:hAnsiTheme="majorHAnsi" w:cstheme="majorHAnsi"/>
          <w:sz w:val="22"/>
          <w:szCs w:val="22"/>
        </w:rPr>
        <w:t xml:space="preserve"> </w:t>
      </w:r>
      <w:r w:rsidRPr="00E11FC2">
        <w:rPr>
          <w:rFonts w:asciiTheme="majorHAnsi" w:hAnsiTheme="majorHAnsi" w:cstheme="majorHAnsi"/>
          <w:sz w:val="22"/>
          <w:szCs w:val="22"/>
        </w:rPr>
        <w:t>a broad-based public education component</w:t>
      </w:r>
      <w:r w:rsidRPr="00E11FC2">
        <w:rPr>
          <w:rStyle w:val="BodyText2Char"/>
          <w:rFonts w:asciiTheme="majorHAnsi" w:hAnsiTheme="majorHAnsi" w:cstheme="majorHAnsi"/>
          <w:sz w:val="22"/>
          <w:szCs w:val="22"/>
        </w:rPr>
        <w:t>. S</w:t>
      </w:r>
      <w:r w:rsidRPr="00E11FC2">
        <w:rPr>
          <w:rFonts w:asciiTheme="majorHAnsi" w:hAnsiTheme="majorHAnsi" w:cstheme="majorHAnsi"/>
          <w:sz w:val="22"/>
          <w:szCs w:val="22"/>
        </w:rPr>
        <w:t xml:space="preserve">everal other statutes apply to collectors and household generators of wastes and products that contain hazardous constituents, including </w:t>
      </w:r>
      <w:hyperlink r:id="rId16" w:history="1">
        <w:r w:rsidRPr="00E11FC2">
          <w:rPr>
            <w:rStyle w:val="Hyperlink"/>
            <w:rFonts w:asciiTheme="majorHAnsi" w:hAnsiTheme="majorHAnsi" w:cstheme="majorHAnsi"/>
            <w:color w:val="0000FF"/>
            <w:sz w:val="22"/>
            <w:szCs w:val="22"/>
          </w:rPr>
          <w:t>disposal</w:t>
        </w:r>
        <w:r w:rsidRPr="00E11FC2">
          <w:rPr>
            <w:rStyle w:val="Hyperlink"/>
            <w:rFonts w:asciiTheme="majorHAnsi" w:hAnsiTheme="majorHAnsi" w:cstheme="majorHAnsi"/>
            <w:color w:val="0000FF"/>
            <w:sz w:val="22"/>
            <w:szCs w:val="22"/>
          </w:rPr>
          <w:t xml:space="preserve"> </w:t>
        </w:r>
        <w:r w:rsidRPr="00E11FC2">
          <w:rPr>
            <w:rStyle w:val="Hyperlink"/>
            <w:rFonts w:asciiTheme="majorHAnsi" w:hAnsiTheme="majorHAnsi" w:cstheme="majorHAnsi"/>
            <w:color w:val="0000FF"/>
            <w:sz w:val="22"/>
            <w:szCs w:val="22"/>
          </w:rPr>
          <w:t>bans</w:t>
        </w:r>
      </w:hyperlink>
      <w:r w:rsidRPr="00E11FC2">
        <w:rPr>
          <w:rFonts w:asciiTheme="majorHAnsi" w:hAnsiTheme="majorHAnsi" w:cstheme="majorHAnsi"/>
          <w:sz w:val="22"/>
          <w:szCs w:val="22"/>
        </w:rPr>
        <w:t>.</w:t>
      </w:r>
    </w:p>
    <w:p w14:paraId="460EE985" w14:textId="77777777" w:rsidR="000648AD" w:rsidRPr="00AD3B87" w:rsidRDefault="000648AD" w:rsidP="00E11FC2">
      <w:pPr>
        <w:tabs>
          <w:tab w:val="left" w:pos="360"/>
        </w:tabs>
        <w:spacing w:before="120" w:after="120" w:line="276" w:lineRule="auto"/>
        <w:ind w:left="360"/>
        <w:rPr>
          <w:rFonts w:ascii="Calibri Light" w:hAnsi="Calibri Light" w:cs="Calibri Light"/>
          <w:b/>
          <w:bCs/>
          <w:sz w:val="22"/>
          <w:szCs w:val="22"/>
        </w:rPr>
      </w:pPr>
      <w:r w:rsidRPr="004C065D">
        <w:rPr>
          <w:rFonts w:ascii="Calibri Light" w:hAnsi="Calibri Light" w:cs="Calibri Light"/>
          <w:b/>
          <w:bCs/>
          <w:sz w:val="22"/>
          <w:szCs w:val="22"/>
        </w:rPr>
        <w:t>2</w:t>
      </w:r>
      <w:r w:rsidRPr="00AD3B87">
        <w:rPr>
          <w:rFonts w:ascii="Calibri Light" w:hAnsi="Calibri Light" w:cs="Calibri Light"/>
          <w:b/>
          <w:bCs/>
          <w:sz w:val="22"/>
          <w:szCs w:val="22"/>
        </w:rPr>
        <w:t xml:space="preserve">.2 </w:t>
      </w:r>
      <w:r>
        <w:rPr>
          <w:rFonts w:ascii="Calibri Light" w:hAnsi="Calibri Light" w:cs="Calibri Light"/>
          <w:b/>
          <w:bCs/>
          <w:sz w:val="22"/>
          <w:szCs w:val="22"/>
        </w:rPr>
        <w:tab/>
      </w:r>
      <w:r w:rsidRPr="00AD3B87">
        <w:rPr>
          <w:rFonts w:ascii="Calibri Light" w:hAnsi="Calibri Light" w:cs="Calibri Light"/>
          <w:b/>
          <w:bCs/>
          <w:sz w:val="22"/>
          <w:szCs w:val="22"/>
        </w:rPr>
        <w:t>Equipment Requirements</w:t>
      </w:r>
    </w:p>
    <w:p w14:paraId="45215CD2" w14:textId="77777777" w:rsidR="000648AD" w:rsidRPr="00AD3B87" w:rsidRDefault="000648AD" w:rsidP="00E11FC2">
      <w:pPr>
        <w:spacing w:line="276" w:lineRule="auto"/>
        <w:ind w:left="360" w:firstLine="360"/>
        <w:rPr>
          <w:rFonts w:ascii="Calibri Light" w:hAnsi="Calibri Light" w:cs="Calibri Light"/>
          <w:sz w:val="22"/>
          <w:szCs w:val="22"/>
        </w:rPr>
      </w:pPr>
      <w:r w:rsidRPr="00AD3B87">
        <w:rPr>
          <w:rFonts w:ascii="Calibri Light" w:hAnsi="Calibri Light" w:cs="Calibri Light"/>
          <w:sz w:val="22"/>
          <w:szCs w:val="22"/>
        </w:rPr>
        <w:t>The Facility shall incorporate and maintain the following equipment in proper working condition:</w:t>
      </w:r>
    </w:p>
    <w:p w14:paraId="2BF2C566"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Fire extinguishers with required signage and</w:t>
      </w:r>
      <w:r>
        <w:rPr>
          <w:rFonts w:ascii="Calibri Light" w:hAnsi="Calibri Light" w:cs="Calibri Light"/>
          <w:sz w:val="22"/>
          <w:szCs w:val="22"/>
        </w:rPr>
        <w:t>/or</w:t>
      </w:r>
      <w:r w:rsidRPr="00AD3B87">
        <w:rPr>
          <w:rFonts w:ascii="Calibri Light" w:hAnsi="Calibri Light" w:cs="Calibri Light"/>
          <w:sz w:val="22"/>
          <w:szCs w:val="22"/>
        </w:rPr>
        <w:t xml:space="preserve"> functional fire suppression systems with adequate volume and pressure.</w:t>
      </w:r>
    </w:p>
    <w:p w14:paraId="1B8B9D1E"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Clearly visible signage</w:t>
      </w:r>
      <w:r>
        <w:rPr>
          <w:rFonts w:ascii="Calibri Light" w:hAnsi="Calibri Light" w:cs="Calibri Light"/>
          <w:sz w:val="22"/>
          <w:szCs w:val="22"/>
        </w:rPr>
        <w:t xml:space="preserve"> in Product Reuse area</w:t>
      </w:r>
      <w:r w:rsidRPr="00AD3B87">
        <w:rPr>
          <w:rFonts w:ascii="Calibri Light" w:hAnsi="Calibri Light" w:cs="Calibri Light"/>
          <w:sz w:val="22"/>
          <w:szCs w:val="22"/>
        </w:rPr>
        <w:t>, including:</w:t>
      </w:r>
    </w:p>
    <w:p w14:paraId="5617512D" w14:textId="77777777" w:rsidR="000648AD" w:rsidRPr="00C925EB" w:rsidRDefault="000648AD" w:rsidP="000648AD">
      <w:pPr>
        <w:pStyle w:val="ListParagraph"/>
        <w:numPr>
          <w:ilvl w:val="0"/>
          <w:numId w:val="13"/>
        </w:numPr>
        <w:spacing w:after="0" w:line="276" w:lineRule="auto"/>
        <w:contextualSpacing w:val="0"/>
        <w:rPr>
          <w:rFonts w:ascii="Calibri Light" w:hAnsi="Calibri Light" w:cs="Calibri Light"/>
          <w:sz w:val="22"/>
          <w:szCs w:val="22"/>
        </w:rPr>
      </w:pPr>
      <w:r w:rsidRPr="00C925EB">
        <w:rPr>
          <w:rFonts w:ascii="Calibri Light" w:hAnsi="Calibri Light" w:cs="Calibri Light"/>
          <w:sz w:val="22"/>
          <w:szCs w:val="22"/>
        </w:rPr>
        <w:t>“No Smoking”</w:t>
      </w:r>
    </w:p>
    <w:p w14:paraId="57921DE9" w14:textId="77777777" w:rsidR="000648AD" w:rsidRPr="00C925EB" w:rsidRDefault="000648AD" w:rsidP="000648AD">
      <w:pPr>
        <w:pStyle w:val="ListParagraph"/>
        <w:numPr>
          <w:ilvl w:val="0"/>
          <w:numId w:val="13"/>
        </w:numPr>
        <w:spacing w:after="0" w:line="276" w:lineRule="auto"/>
        <w:contextualSpacing w:val="0"/>
        <w:rPr>
          <w:rFonts w:ascii="Calibri Light" w:hAnsi="Calibri Light" w:cs="Calibri Light"/>
          <w:sz w:val="22"/>
          <w:szCs w:val="22"/>
        </w:rPr>
      </w:pPr>
      <w:r w:rsidRPr="00C925EB">
        <w:rPr>
          <w:rFonts w:ascii="Calibri Light" w:hAnsi="Calibri Light" w:cs="Calibri Light"/>
          <w:sz w:val="22"/>
          <w:szCs w:val="22"/>
        </w:rPr>
        <w:t>“Authorized Personnel Only”</w:t>
      </w:r>
    </w:p>
    <w:p w14:paraId="1B92696F" w14:textId="77777777" w:rsidR="000648AD" w:rsidRPr="00C925EB" w:rsidRDefault="000648AD" w:rsidP="000648AD">
      <w:pPr>
        <w:pStyle w:val="ListParagraph"/>
        <w:numPr>
          <w:ilvl w:val="0"/>
          <w:numId w:val="13"/>
        </w:numPr>
        <w:spacing w:after="0" w:line="276" w:lineRule="auto"/>
        <w:contextualSpacing w:val="0"/>
        <w:rPr>
          <w:rFonts w:ascii="Calibri Light" w:hAnsi="Calibri Light" w:cs="Calibri Light"/>
          <w:sz w:val="22"/>
          <w:szCs w:val="22"/>
        </w:rPr>
      </w:pPr>
      <w:r w:rsidRPr="00C925EB">
        <w:rPr>
          <w:rFonts w:ascii="Calibri Light" w:hAnsi="Calibri Light" w:cs="Calibri Light"/>
          <w:sz w:val="22"/>
          <w:szCs w:val="22"/>
        </w:rPr>
        <w:t>“No One Under the Age of 18 Allowed in Facility Without Adult Supervision”</w:t>
      </w:r>
    </w:p>
    <w:p w14:paraId="5AE38F7B" w14:textId="27E19B8B" w:rsidR="000648AD" w:rsidRPr="00E11FC2" w:rsidRDefault="000648AD" w:rsidP="000648AD">
      <w:pPr>
        <w:pStyle w:val="ListParagraph"/>
        <w:numPr>
          <w:ilvl w:val="0"/>
          <w:numId w:val="13"/>
        </w:numPr>
        <w:spacing w:after="0" w:line="276" w:lineRule="auto"/>
        <w:contextualSpacing w:val="0"/>
        <w:rPr>
          <w:rStyle w:val="Hyperlink"/>
          <w:rFonts w:asciiTheme="majorHAnsi" w:hAnsiTheme="majorHAnsi" w:cstheme="majorHAnsi"/>
          <w:color w:val="0000FF"/>
          <w:sz w:val="22"/>
          <w:szCs w:val="22"/>
        </w:rPr>
      </w:pPr>
      <w:r w:rsidRPr="00E11FC2">
        <w:rPr>
          <w:rFonts w:asciiTheme="majorHAnsi" w:hAnsiTheme="majorHAnsi" w:cstheme="majorHAnsi"/>
          <w:color w:val="0000FF"/>
          <w:sz w:val="22"/>
          <w:szCs w:val="22"/>
        </w:rPr>
        <w:fldChar w:fldCharType="begin"/>
      </w:r>
      <w:r w:rsidR="00E11FC2" w:rsidRPr="00E11FC2">
        <w:rPr>
          <w:rFonts w:asciiTheme="majorHAnsi" w:hAnsiTheme="majorHAnsi" w:cstheme="majorHAnsi"/>
          <w:color w:val="0000FF"/>
          <w:sz w:val="22"/>
          <w:szCs w:val="22"/>
        </w:rPr>
        <w:instrText>HYPERLINK "https://www.paintcare.org/states/minnesota/"</w:instrText>
      </w:r>
      <w:r w:rsidR="00E11FC2" w:rsidRPr="00E11FC2">
        <w:rPr>
          <w:rFonts w:asciiTheme="majorHAnsi" w:hAnsiTheme="majorHAnsi" w:cstheme="majorHAnsi"/>
          <w:color w:val="0000FF"/>
          <w:sz w:val="22"/>
          <w:szCs w:val="22"/>
        </w:rPr>
      </w:r>
      <w:r w:rsidRPr="00E11FC2">
        <w:rPr>
          <w:rFonts w:asciiTheme="majorHAnsi" w:hAnsiTheme="majorHAnsi" w:cstheme="majorHAnsi"/>
          <w:color w:val="0000FF"/>
          <w:sz w:val="22"/>
          <w:szCs w:val="22"/>
        </w:rPr>
        <w:fldChar w:fldCharType="separate"/>
      </w:r>
      <w:r w:rsidRPr="00E11FC2">
        <w:rPr>
          <w:rStyle w:val="Hyperlink"/>
          <w:rFonts w:asciiTheme="majorHAnsi" w:hAnsiTheme="majorHAnsi" w:cstheme="majorHAnsi"/>
          <w:color w:val="0000FF"/>
          <w:sz w:val="22"/>
          <w:szCs w:val="22"/>
        </w:rPr>
        <w:t>Pai</w:t>
      </w:r>
      <w:r w:rsidRPr="00E11FC2">
        <w:rPr>
          <w:rStyle w:val="Hyperlink"/>
          <w:rFonts w:asciiTheme="majorHAnsi" w:hAnsiTheme="majorHAnsi" w:cstheme="majorHAnsi"/>
          <w:color w:val="0000FF"/>
          <w:sz w:val="22"/>
          <w:szCs w:val="22"/>
        </w:rPr>
        <w:t>n</w:t>
      </w:r>
      <w:r w:rsidRPr="00E11FC2">
        <w:rPr>
          <w:rStyle w:val="Hyperlink"/>
          <w:rFonts w:asciiTheme="majorHAnsi" w:hAnsiTheme="majorHAnsi" w:cstheme="majorHAnsi"/>
          <w:color w:val="0000FF"/>
          <w:sz w:val="22"/>
          <w:szCs w:val="22"/>
        </w:rPr>
        <w:t>tCare</w:t>
      </w:r>
    </w:p>
    <w:p w14:paraId="67043873" w14:textId="77777777" w:rsidR="000648AD" w:rsidRPr="00C925EB" w:rsidRDefault="000648AD" w:rsidP="000648AD">
      <w:pPr>
        <w:pStyle w:val="ListParagraph"/>
        <w:numPr>
          <w:ilvl w:val="0"/>
          <w:numId w:val="13"/>
        </w:numPr>
        <w:spacing w:after="0" w:line="276" w:lineRule="auto"/>
        <w:contextualSpacing w:val="0"/>
        <w:rPr>
          <w:rFonts w:asciiTheme="majorHAnsi" w:hAnsiTheme="majorHAnsi" w:cstheme="majorHAnsi"/>
        </w:rPr>
      </w:pPr>
      <w:r w:rsidRPr="00E11FC2">
        <w:rPr>
          <w:rFonts w:asciiTheme="majorHAnsi" w:hAnsiTheme="majorHAnsi" w:cstheme="majorHAnsi"/>
          <w:color w:val="0000FF"/>
        </w:rPr>
        <w:fldChar w:fldCharType="end"/>
      </w:r>
      <w:r w:rsidRPr="00C925EB">
        <w:rPr>
          <w:rFonts w:asciiTheme="majorHAnsi" w:hAnsiTheme="majorHAnsi" w:cstheme="majorHAnsi"/>
        </w:rPr>
        <w:t>Internal and external telephone or communication systems.</w:t>
      </w:r>
    </w:p>
    <w:p w14:paraId="27F67AA8"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Pr>
          <w:rFonts w:ascii="Calibri Light" w:hAnsi="Calibri Light" w:cs="Calibri Light"/>
          <w:sz w:val="22"/>
          <w:szCs w:val="22"/>
        </w:rPr>
        <w:t>Clearly labeled and s</w:t>
      </w:r>
      <w:r w:rsidRPr="00AD3B87">
        <w:rPr>
          <w:rFonts w:ascii="Calibri Light" w:hAnsi="Calibri Light" w:cs="Calibri Light"/>
          <w:sz w:val="22"/>
          <w:szCs w:val="22"/>
        </w:rPr>
        <w:t>tocked first-aid kits and</w:t>
      </w:r>
      <w:r w:rsidRPr="00171EAC">
        <w:rPr>
          <w:rFonts w:ascii="Calibri Light" w:hAnsi="Calibri Light" w:cs="Calibri Light"/>
          <w:sz w:val="22"/>
          <w:szCs w:val="22"/>
        </w:rPr>
        <w:t xml:space="preserve"> </w:t>
      </w:r>
      <w:hyperlink r:id="rId17" w:history="1">
        <w:r w:rsidRPr="00171EAC">
          <w:rPr>
            <w:rFonts w:ascii="Calibri Light" w:hAnsi="Calibri Light" w:cs="Calibri Light"/>
            <w:sz w:val="22"/>
            <w:szCs w:val="22"/>
          </w:rPr>
          <w:t>spill response kits</w:t>
        </w:r>
      </w:hyperlink>
      <w:r w:rsidRPr="00AE5A99">
        <w:rPr>
          <w:rFonts w:ascii="Calibri Light" w:hAnsi="Calibri Light" w:cs="Calibri Light"/>
          <w:sz w:val="22"/>
          <w:szCs w:val="22"/>
        </w:rPr>
        <w:t>.</w:t>
      </w:r>
    </w:p>
    <w:p w14:paraId="35CC4192" w14:textId="77777777" w:rsidR="000648AD"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 xml:space="preserve">Decontamination equipment, including an emergency eyewash and shower capable of providing </w:t>
      </w:r>
    </w:p>
    <w:p w14:paraId="77FC3CE7"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15 minutes of continuous water</w:t>
      </w:r>
      <w:r>
        <w:rPr>
          <w:rFonts w:ascii="Calibri Light" w:hAnsi="Calibri Light" w:cs="Calibri Light"/>
          <w:sz w:val="22"/>
          <w:szCs w:val="22"/>
        </w:rPr>
        <w:t xml:space="preserve"> and</w:t>
      </w:r>
      <w:r w:rsidRPr="00AD3B87">
        <w:rPr>
          <w:rFonts w:ascii="Calibri Light" w:hAnsi="Calibri Light" w:cs="Calibri Light"/>
          <w:sz w:val="22"/>
          <w:szCs w:val="22"/>
        </w:rPr>
        <w:t xml:space="preserve"> located within a 10-second travel distance of areas where corrosive chemicals are handled.</w:t>
      </w:r>
    </w:p>
    <w:p w14:paraId="22B952F8"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Pr>
          <w:rFonts w:ascii="Calibri Light" w:hAnsi="Calibri Light" w:cs="Calibri Light"/>
          <w:sz w:val="22"/>
          <w:szCs w:val="22"/>
        </w:rPr>
        <w:t xml:space="preserve">Facility </w:t>
      </w:r>
      <w:hyperlink r:id="rId18" w:history="1">
        <w:r w:rsidRPr="00171EAC">
          <w:rPr>
            <w:rFonts w:ascii="Calibri Light" w:hAnsi="Calibri Light" w:cs="Calibri Light"/>
            <w:sz w:val="22"/>
            <w:szCs w:val="22"/>
          </w:rPr>
          <w:t>ADA</w:t>
        </w:r>
      </w:hyperlink>
      <w:r w:rsidRPr="00171EAC">
        <w:rPr>
          <w:rFonts w:ascii="Calibri Light" w:hAnsi="Calibri Light" w:cs="Calibri Light"/>
          <w:sz w:val="22"/>
          <w:szCs w:val="22"/>
        </w:rPr>
        <w:t xml:space="preserve"> </w:t>
      </w:r>
      <w:r>
        <w:rPr>
          <w:rFonts w:ascii="Calibri Light" w:hAnsi="Calibri Light" w:cs="Calibri Light"/>
          <w:sz w:val="22"/>
          <w:szCs w:val="22"/>
        </w:rPr>
        <w:t>compliant doors</w:t>
      </w:r>
      <w:r w:rsidRPr="00AD3B87">
        <w:rPr>
          <w:rFonts w:ascii="Calibri Light" w:hAnsi="Calibri Light" w:cs="Calibri Light"/>
          <w:sz w:val="22"/>
          <w:szCs w:val="22"/>
        </w:rPr>
        <w:t xml:space="preserve"> </w:t>
      </w:r>
      <w:r>
        <w:rPr>
          <w:rFonts w:ascii="Calibri Light" w:hAnsi="Calibri Light" w:cs="Calibri Light"/>
          <w:sz w:val="22"/>
          <w:szCs w:val="22"/>
        </w:rPr>
        <w:t>and access to</w:t>
      </w:r>
      <w:r w:rsidRPr="00AD3B87">
        <w:rPr>
          <w:rFonts w:ascii="Calibri Light" w:hAnsi="Calibri Light" w:cs="Calibri Light"/>
          <w:sz w:val="22"/>
          <w:szCs w:val="22"/>
        </w:rPr>
        <w:t xml:space="preserve"> hand-washing facilities.</w:t>
      </w:r>
    </w:p>
    <w:p w14:paraId="3AB0C10C" w14:textId="77777777" w:rsidR="000648AD"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A designated area for eating and drinking, supplied with potable water, and isolated from exposure to toxic materials.</w:t>
      </w:r>
    </w:p>
    <w:p w14:paraId="29EAB1BE"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Pr>
          <w:rFonts w:ascii="Calibri Light" w:hAnsi="Calibri Light" w:cs="Calibri Light"/>
          <w:sz w:val="22"/>
          <w:szCs w:val="22"/>
        </w:rPr>
        <w:t xml:space="preserve">Ensure all containers </w:t>
      </w:r>
      <w:hyperlink r:id="rId19" w:history="1">
        <w:r w:rsidRPr="00171EAC">
          <w:rPr>
            <w:rFonts w:ascii="Calibri Light" w:hAnsi="Calibri Light" w:cs="Calibri Light"/>
            <w:sz w:val="22"/>
            <w:szCs w:val="22"/>
          </w:rPr>
          <w:t>storing HHW</w:t>
        </w:r>
      </w:hyperlink>
      <w:r>
        <w:rPr>
          <w:rFonts w:ascii="Calibri Light" w:hAnsi="Calibri Light" w:cs="Calibri Light"/>
          <w:sz w:val="22"/>
          <w:szCs w:val="22"/>
        </w:rPr>
        <w:t xml:space="preserve"> are clearly marked with the contents, the accumulation start date and the words </w:t>
      </w:r>
      <w:r w:rsidRPr="00AE5A99">
        <w:rPr>
          <w:rFonts w:ascii="Calibri Light" w:hAnsi="Calibri Light" w:cs="Calibri Light"/>
          <w:sz w:val="22"/>
          <w:szCs w:val="22"/>
        </w:rPr>
        <w:t>‘Hazardous Waste’.</w:t>
      </w:r>
    </w:p>
    <w:p w14:paraId="2BB18B55" w14:textId="77777777" w:rsidR="000648AD" w:rsidRPr="00AD3B87" w:rsidRDefault="000648AD" w:rsidP="000648AD">
      <w:pPr>
        <w:numPr>
          <w:ilvl w:val="0"/>
          <w:numId w:val="10"/>
        </w:numPr>
        <w:tabs>
          <w:tab w:val="clear" w:pos="1080"/>
        </w:tabs>
        <w:spacing w:line="276" w:lineRule="auto"/>
        <w:ind w:left="1440"/>
        <w:rPr>
          <w:rFonts w:ascii="Calibri Light" w:hAnsi="Calibri Light" w:cs="Calibri Light"/>
          <w:sz w:val="22"/>
          <w:szCs w:val="22"/>
        </w:rPr>
      </w:pPr>
      <w:r w:rsidRPr="00AD3B87">
        <w:rPr>
          <w:rFonts w:ascii="Calibri Light" w:hAnsi="Calibri Light" w:cs="Calibri Light"/>
          <w:sz w:val="22"/>
          <w:szCs w:val="22"/>
        </w:rPr>
        <w:t xml:space="preserve">Publicly posted </w:t>
      </w:r>
      <w:r>
        <w:rPr>
          <w:rFonts w:ascii="Calibri Light" w:hAnsi="Calibri Light" w:cs="Calibri Light"/>
          <w:sz w:val="22"/>
          <w:szCs w:val="22"/>
        </w:rPr>
        <w:t xml:space="preserve">outdoor </w:t>
      </w:r>
      <w:r w:rsidRPr="00AD3B87">
        <w:rPr>
          <w:rFonts w:ascii="Calibri Light" w:hAnsi="Calibri Light" w:cs="Calibri Light"/>
          <w:sz w:val="22"/>
          <w:szCs w:val="22"/>
        </w:rPr>
        <w:t>signage listing hours of operation, contact information, and a statement prohibiting unattended waste drop-off.</w:t>
      </w:r>
    </w:p>
    <w:p w14:paraId="553B1664" w14:textId="77777777" w:rsidR="000648AD" w:rsidRPr="00AD3B87" w:rsidRDefault="000648AD" w:rsidP="0091635C">
      <w:pPr>
        <w:spacing w:line="276" w:lineRule="auto"/>
        <w:ind w:left="1440"/>
        <w:rPr>
          <w:rFonts w:ascii="Calibri Light" w:hAnsi="Calibri Light" w:cs="Calibri Light"/>
          <w:sz w:val="22"/>
          <w:szCs w:val="22"/>
        </w:rPr>
      </w:pPr>
    </w:p>
    <w:sectPr w:rsidR="000648AD" w:rsidRPr="00AD3B87" w:rsidSect="0020612C">
      <w:footerReference w:type="default" r:id="rId20"/>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3DB3" w14:textId="77777777" w:rsidR="000648AD" w:rsidRDefault="000648AD">
      <w:r>
        <w:separator/>
      </w:r>
    </w:p>
  </w:endnote>
  <w:endnote w:type="continuationSeparator" w:id="0">
    <w:p w14:paraId="76AEF1B1" w14:textId="77777777" w:rsidR="000648AD" w:rsidRDefault="0006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87EB" w14:textId="645FCD1B"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0648AD">
      <w:rPr>
        <w:rFonts w:ascii="Calibri Light" w:hAnsi="Calibri Light" w:cs="Calibri Light"/>
        <w:iCs/>
        <w:sz w:val="18"/>
        <w:szCs w:val="18"/>
      </w:rPr>
      <w:t xml:space="preserve"> 3.02</w:t>
    </w:r>
    <w:r>
      <w:rPr>
        <w:rFonts w:ascii="Calibri Light" w:hAnsi="Calibri Light" w:cs="Calibri Light"/>
        <w:iCs/>
        <w:sz w:val="18"/>
        <w:szCs w:val="18"/>
      </w:rPr>
      <w:t xml:space="preserve"> </w:t>
    </w:r>
    <w:r w:rsidR="000648AD" w:rsidRPr="000648AD">
      <w:rPr>
        <w:rFonts w:ascii="Calibri Light" w:hAnsi="Calibri Light" w:cs="Calibri Light"/>
        <w:bCs/>
        <w:iCs/>
        <w:sz w:val="18"/>
        <w:szCs w:val="18"/>
      </w:rPr>
      <w:t>Storing Wastes for Greater than 90 Days</w:t>
    </w:r>
    <w:r w:rsidRPr="000648AD">
      <w:rPr>
        <w:rFonts w:ascii="Calibri Light" w:hAnsi="Calibri Light" w:cs="Calibri Light"/>
        <w:bCs/>
        <w:iCs/>
        <w:sz w:val="18"/>
        <w:szCs w:val="18"/>
      </w:rPr>
      <w:tab/>
    </w:r>
    <w:r w:rsidR="000648AD">
      <w:rPr>
        <w:rFonts w:ascii="Calibri Light" w:hAnsi="Calibri Light" w:cs="Calibri Light"/>
        <w:bCs/>
        <w:iCs/>
        <w:sz w:val="18"/>
        <w:szCs w:val="18"/>
      </w:rPr>
      <w:t>December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0648AD">
      <w:rPr>
        <w:rFonts w:ascii="Calibri Light" w:hAnsi="Calibri Light" w:cs="Calibri Light"/>
        <w:sz w:val="18"/>
        <w:szCs w:val="18"/>
      </w:rPr>
      <w:t>3-02</w:t>
    </w:r>
  </w:p>
  <w:p w14:paraId="4A392D38"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F542" w14:textId="77777777" w:rsidR="000648AD" w:rsidRDefault="000648AD">
      <w:r>
        <w:separator/>
      </w:r>
    </w:p>
  </w:footnote>
  <w:footnote w:type="continuationSeparator" w:id="0">
    <w:p w14:paraId="2CE5CD2E" w14:textId="77777777" w:rsidR="000648AD" w:rsidRDefault="00064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1AE61290"/>
    <w:multiLevelType w:val="multilevel"/>
    <w:tmpl w:val="5E80E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808080"/>
        <w:sz w:val="20"/>
        <w:szCs w:val="20"/>
      </w:rPr>
    </w:lvl>
    <w:lvl w:ilvl="2">
      <w:start w:val="1"/>
      <w:numFmt w:val="bullet"/>
      <w:lvlText w:val=""/>
      <w:lvlJc w:val="left"/>
      <w:pPr>
        <w:ind w:left="2160" w:hanging="360"/>
      </w:pPr>
      <w:rPr>
        <w:rFonts w:ascii="Symbol" w:hAnsi="Symbol" w:hint="default"/>
        <w:color w:val="8080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D86089C"/>
    <w:multiLevelType w:val="hybridMultilevel"/>
    <w:tmpl w:val="37701C64"/>
    <w:lvl w:ilvl="0" w:tplc="9D7AC1D2">
      <w:start w:val="1"/>
      <w:numFmt w:val="bullet"/>
      <w:pStyle w:val="PC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593938EC"/>
    <w:multiLevelType w:val="multilevel"/>
    <w:tmpl w:val="F3D600F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0695947"/>
    <w:multiLevelType w:val="multilevel"/>
    <w:tmpl w:val="6B064624"/>
    <w:lvl w:ilvl="0">
      <w:start w:val="1"/>
      <w:numFmt w:val="bullet"/>
      <w:lvlText w:val=""/>
      <w:lvlJc w:val="left"/>
      <w:pPr>
        <w:tabs>
          <w:tab w:val="num" w:pos="1800"/>
        </w:tabs>
        <w:ind w:left="1800" w:hanging="360"/>
      </w:pPr>
      <w:rPr>
        <w:rFonts w:ascii="Symbol" w:hAnsi="Symbol" w:hint="default"/>
        <w:color w:val="808080"/>
        <w:sz w:val="20"/>
        <w:szCs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7B2C0BDD"/>
    <w:multiLevelType w:val="multilevel"/>
    <w:tmpl w:val="8B12B21C"/>
    <w:lvl w:ilvl="0">
      <w:start w:val="1"/>
      <w:numFmt w:val="bullet"/>
      <w:lvlText w:val=""/>
      <w:lvlJc w:val="left"/>
      <w:pPr>
        <w:tabs>
          <w:tab w:val="num" w:pos="720"/>
        </w:tabs>
        <w:ind w:left="720" w:hanging="360"/>
      </w:pPr>
      <w:rPr>
        <w:rFonts w:ascii="Symbol" w:hAnsi="Symbol" w:hint="default"/>
        <w:sz w:val="20"/>
      </w:rPr>
    </w:lvl>
    <w:lvl w:ilvl="1">
      <w:start w:val="1"/>
      <w:numFmt w:val="bullet"/>
      <w:pStyle w:val="PCABulletLevel2"/>
      <w:lvlText w:val=""/>
      <w:lvlJc w:val="left"/>
      <w:pPr>
        <w:ind w:left="1440" w:hanging="360"/>
      </w:pPr>
      <w:rPr>
        <w:rFonts w:ascii="Symbol" w:hAnsi="Symbol" w:hint="default"/>
        <w:color w:val="8080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5"/>
  </w:num>
  <w:num w:numId="2" w16cid:durableId="821434402">
    <w:abstractNumId w:val="0"/>
  </w:num>
  <w:num w:numId="3" w16cid:durableId="270094992">
    <w:abstractNumId w:val="4"/>
  </w:num>
  <w:num w:numId="4" w16cid:durableId="560406482">
    <w:abstractNumId w:val="8"/>
  </w:num>
  <w:num w:numId="5" w16cid:durableId="2134013816">
    <w:abstractNumId w:val="1"/>
  </w:num>
  <w:num w:numId="6" w16cid:durableId="195241025">
    <w:abstractNumId w:val="3"/>
  </w:num>
  <w:num w:numId="7" w16cid:durableId="114761922">
    <w:abstractNumId w:val="9"/>
  </w:num>
  <w:num w:numId="8" w16cid:durableId="1096168710">
    <w:abstractNumId w:val="7"/>
  </w:num>
  <w:num w:numId="9" w16cid:durableId="1624461946">
    <w:abstractNumId w:val="13"/>
  </w:num>
  <w:num w:numId="10" w16cid:durableId="929121170">
    <w:abstractNumId w:val="10"/>
  </w:num>
  <w:num w:numId="11" w16cid:durableId="1522545235">
    <w:abstractNumId w:val="12"/>
  </w:num>
  <w:num w:numId="12" w16cid:durableId="1587881059">
    <w:abstractNumId w:val="2"/>
  </w:num>
  <w:num w:numId="13" w16cid:durableId="1116675565">
    <w:abstractNumId w:val="11"/>
  </w:num>
  <w:num w:numId="14" w16cid:durableId="2320113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AD"/>
    <w:rsid w:val="0000442F"/>
    <w:rsid w:val="00035F36"/>
    <w:rsid w:val="00055E16"/>
    <w:rsid w:val="000648AD"/>
    <w:rsid w:val="000D2548"/>
    <w:rsid w:val="000D376D"/>
    <w:rsid w:val="000D46B4"/>
    <w:rsid w:val="000E41B9"/>
    <w:rsid w:val="000E68D6"/>
    <w:rsid w:val="00125903"/>
    <w:rsid w:val="00143B38"/>
    <w:rsid w:val="00146D50"/>
    <w:rsid w:val="00190058"/>
    <w:rsid w:val="001B78A9"/>
    <w:rsid w:val="001E0547"/>
    <w:rsid w:val="001E3818"/>
    <w:rsid w:val="0020612C"/>
    <w:rsid w:val="00227DEB"/>
    <w:rsid w:val="002622CE"/>
    <w:rsid w:val="00274769"/>
    <w:rsid w:val="002C188D"/>
    <w:rsid w:val="002F6599"/>
    <w:rsid w:val="003940E2"/>
    <w:rsid w:val="003A4E13"/>
    <w:rsid w:val="003E4145"/>
    <w:rsid w:val="003E6E96"/>
    <w:rsid w:val="003F6AAD"/>
    <w:rsid w:val="00441CF6"/>
    <w:rsid w:val="0046738B"/>
    <w:rsid w:val="004762CC"/>
    <w:rsid w:val="004C2A6A"/>
    <w:rsid w:val="004D7D89"/>
    <w:rsid w:val="004F688C"/>
    <w:rsid w:val="00501E00"/>
    <w:rsid w:val="00521A58"/>
    <w:rsid w:val="005331A9"/>
    <w:rsid w:val="00550470"/>
    <w:rsid w:val="00556EEB"/>
    <w:rsid w:val="00574768"/>
    <w:rsid w:val="005B4B24"/>
    <w:rsid w:val="00615161"/>
    <w:rsid w:val="0061567E"/>
    <w:rsid w:val="006240BF"/>
    <w:rsid w:val="00646449"/>
    <w:rsid w:val="006A7D52"/>
    <w:rsid w:val="006B792D"/>
    <w:rsid w:val="006C2B3A"/>
    <w:rsid w:val="006C4998"/>
    <w:rsid w:val="006E238C"/>
    <w:rsid w:val="006F16C9"/>
    <w:rsid w:val="007623E1"/>
    <w:rsid w:val="00800D6B"/>
    <w:rsid w:val="00820377"/>
    <w:rsid w:val="008215EA"/>
    <w:rsid w:val="00844AAF"/>
    <w:rsid w:val="00871406"/>
    <w:rsid w:val="008A5F69"/>
    <w:rsid w:val="008B0FB5"/>
    <w:rsid w:val="008B1923"/>
    <w:rsid w:val="008D269C"/>
    <w:rsid w:val="008D7C42"/>
    <w:rsid w:val="008F69FD"/>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F062A"/>
    <w:rsid w:val="00BF5805"/>
    <w:rsid w:val="00C13911"/>
    <w:rsid w:val="00C52A57"/>
    <w:rsid w:val="00C54FB8"/>
    <w:rsid w:val="00C9583F"/>
    <w:rsid w:val="00CA2E49"/>
    <w:rsid w:val="00CD739A"/>
    <w:rsid w:val="00CD7974"/>
    <w:rsid w:val="00D009B8"/>
    <w:rsid w:val="00D0661A"/>
    <w:rsid w:val="00D239A2"/>
    <w:rsid w:val="00D37746"/>
    <w:rsid w:val="00D46598"/>
    <w:rsid w:val="00D47D25"/>
    <w:rsid w:val="00D85D10"/>
    <w:rsid w:val="00DC3EA8"/>
    <w:rsid w:val="00DD108D"/>
    <w:rsid w:val="00E0738D"/>
    <w:rsid w:val="00E11FC2"/>
    <w:rsid w:val="00E166C3"/>
    <w:rsid w:val="00E4006A"/>
    <w:rsid w:val="00E55BFE"/>
    <w:rsid w:val="00E808AF"/>
    <w:rsid w:val="00E965BE"/>
    <w:rsid w:val="00EA4675"/>
    <w:rsid w:val="00ED1438"/>
    <w:rsid w:val="00F04BA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A9F3"/>
  <w15:chartTrackingRefBased/>
  <w15:docId w15:val="{F3887B07-6C6A-471E-BCD2-7DA076C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BulletLevel2">
    <w:name w:val="PCA Bullet Level 2"/>
    <w:basedOn w:val="Normal"/>
    <w:rsid w:val="000648AD"/>
    <w:pPr>
      <w:numPr>
        <w:ilvl w:val="1"/>
        <w:numId w:val="11"/>
      </w:numPr>
    </w:pPr>
  </w:style>
  <w:style w:type="paragraph" w:styleId="ListParagraph">
    <w:name w:val="List Paragraph"/>
    <w:basedOn w:val="Normal"/>
    <w:uiPriority w:val="34"/>
    <w:qFormat/>
    <w:rsid w:val="000648AD"/>
    <w:pPr>
      <w:spacing w:after="160" w:line="259" w:lineRule="auto"/>
      <w:ind w:left="720"/>
      <w:contextualSpacing/>
    </w:pPr>
    <w:rPr>
      <w:sz w:val="21"/>
    </w:rPr>
  </w:style>
  <w:style w:type="paragraph" w:customStyle="1" w:styleId="PCABulletLevel1">
    <w:name w:val="PCA Bullet Level 1"/>
    <w:basedOn w:val="Normal"/>
    <w:qFormat/>
    <w:rsid w:val="000648AD"/>
    <w:pPr>
      <w:numPr>
        <w:numId w:val="14"/>
      </w:numPr>
      <w:spacing w:before="120" w:line="271"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3A%2F%2Fwww.pca.state.mn.us%2Fsites%2Fdefault%2Ffiles%2Fw-hw2-41.doc&amp;wdOrigin=BROWSELINK" TargetMode="External"/><Relationship Id="rId18" Type="http://schemas.openxmlformats.org/officeDocument/2006/relationships/hyperlink" Target="https://archive.ada.gov/descript/reg3a/fig25de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ca.state.mn.us/business-with-us/household-hazardous-waste-collection" TargetMode="External"/><Relationship Id="rId17" Type="http://schemas.openxmlformats.org/officeDocument/2006/relationships/hyperlink" Target="https://www.bing.com/images/search?q=Chemical+Spill+Clean+Up+Kit&amp;form=IARSLK&amp;first=1" TargetMode="External"/><Relationship Id="rId2" Type="http://schemas.openxmlformats.org/officeDocument/2006/relationships/numbering" Target="numbering.xml"/><Relationship Id="rId16" Type="http://schemas.openxmlformats.org/officeDocument/2006/relationships/hyperlink" Target="https://www.pca.state.mn.us/news-and-stories/safely-dispose-of-household-hazardous-was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rules/7045.0310/" TargetMode="External"/><Relationship Id="rId5" Type="http://schemas.openxmlformats.org/officeDocument/2006/relationships/webSettings" Target="webSettings.xml"/><Relationship Id="rId15" Type="http://schemas.openxmlformats.org/officeDocument/2006/relationships/hyperlink" Target="https://www.revisor.mn.gov/statutes/?id=115a.46" TargetMode="External"/><Relationship Id="rId10" Type="http://schemas.openxmlformats.org/officeDocument/2006/relationships/hyperlink" Target="https://www.pca.state.mn.us/business-with-us/hazardous-waste" TargetMode="External"/><Relationship Id="rId19" Type="http://schemas.openxmlformats.org/officeDocument/2006/relationships/hyperlink" Target="https://www.pca.state.mn.us/sites/default/files/w-hw1-05.pdf" TargetMode="External"/><Relationship Id="rId4" Type="http://schemas.openxmlformats.org/officeDocument/2006/relationships/settings" Target="settings.xml"/><Relationship Id="rId9" Type="http://schemas.openxmlformats.org/officeDocument/2006/relationships/hyperlink" Target="https://www.osha.gov/hazardous-waste" TargetMode="External"/><Relationship Id="rId14" Type="http://schemas.openxmlformats.org/officeDocument/2006/relationships/hyperlink" Target="http://leachate.co.uk/main/what-is-leachat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templateSA_Nov 2024</Template>
  <TotalTime>1</TotalTime>
  <Pages>2</Pages>
  <Words>823</Words>
  <Characters>4693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	Introduction</vt:lpstr>
      <vt:lpstr>2.	Greater-Than-90-Day Site Standards</vt:lpstr>
    </vt:vector>
  </TitlesOfParts>
  <Manager>Teresa Gilbertson, L. McLain</Manager>
  <Company>MPCA</Company>
  <LinksUpToDate>false</LinksUpToDate>
  <CharactersWithSpaces>5505</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3.02 Storing Wastes for Greater than 90 Days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w-hhwsop3-02</cp:keywords>
  <dc:description/>
  <cp:lastModifiedBy>McLain, Lori (MPCA)</cp:lastModifiedBy>
  <cp:revision>2</cp:revision>
  <dcterms:created xsi:type="dcterms:W3CDTF">2025-12-01T14:03:00Z</dcterms:created>
  <dcterms:modified xsi:type="dcterms:W3CDTF">2025-12-01T14:03:00Z</dcterms:modified>
  <cp:category>Waste, Household Hazardous Waste, Standard Operation Procedures - Training</cp:category>
</cp:coreProperties>
</file>