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76"/>
        <w:gridCol w:w="6884"/>
      </w:tblGrid>
      <w:tr w:rsidR="003E6E96" w:rsidRPr="00B5499A" w14:paraId="1E941191" w14:textId="77777777" w:rsidTr="00AC5594">
        <w:trPr>
          <w:trHeight w:val="891"/>
        </w:trPr>
        <w:tc>
          <w:tcPr>
            <w:tcW w:w="2538" w:type="dxa"/>
            <w:tcBorders>
              <w:top w:val="nil"/>
              <w:left w:val="nil"/>
              <w:bottom w:val="single" w:sz="2" w:space="0" w:color="A6A6A6"/>
              <w:right w:val="single" w:sz="2" w:space="0" w:color="A6A6A6"/>
            </w:tcBorders>
            <w:hideMark/>
          </w:tcPr>
          <w:p w14:paraId="606238EC"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0" behindDoc="0" locked="0" layoutInCell="1" allowOverlap="1" wp14:anchorId="7E6B23D1" wp14:editId="469BD178">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8" w:type="dxa"/>
            <w:tcBorders>
              <w:top w:val="nil"/>
              <w:left w:val="single" w:sz="2" w:space="0" w:color="A6A6A6"/>
              <w:bottom w:val="single" w:sz="2" w:space="0" w:color="A6A6A6"/>
              <w:right w:val="nil"/>
            </w:tcBorders>
            <w:vAlign w:val="center"/>
            <w:hideMark/>
          </w:tcPr>
          <w:p w14:paraId="001492C1" w14:textId="496FE6E5" w:rsidR="00C9583F" w:rsidRDefault="00C9583F" w:rsidP="006C4998">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sidR="00A54B45">
              <w:rPr>
                <w:rFonts w:ascii="Calibri" w:eastAsia="Calibri" w:hAnsi="Calibri"/>
                <w:b/>
                <w:noProof/>
                <w:color w:val="808080"/>
                <w:sz w:val="44"/>
                <w:szCs w:val="44"/>
              </w:rPr>
              <w:t>1.</w:t>
            </w:r>
            <w:r w:rsidR="00202CD1">
              <w:rPr>
                <w:rFonts w:ascii="Calibri" w:eastAsia="Calibri" w:hAnsi="Calibri"/>
                <w:b/>
                <w:noProof/>
                <w:color w:val="808080"/>
                <w:sz w:val="44"/>
                <w:szCs w:val="44"/>
              </w:rPr>
              <w:t>0</w:t>
            </w:r>
            <w:r w:rsidR="00A54B45">
              <w:rPr>
                <w:rFonts w:ascii="Calibri" w:eastAsia="Calibri" w:hAnsi="Calibri"/>
                <w:b/>
                <w:noProof/>
                <w:color w:val="808080"/>
                <w:sz w:val="44"/>
                <w:szCs w:val="44"/>
              </w:rPr>
              <w:t>2</w:t>
            </w:r>
            <w:r w:rsidRPr="00B5499A">
              <w:rPr>
                <w:rFonts w:ascii="Calibri" w:eastAsia="Calibri" w:hAnsi="Calibri"/>
                <w:b/>
                <w:noProof/>
                <w:color w:val="808080"/>
                <w:sz w:val="44"/>
                <w:szCs w:val="44"/>
              </w:rPr>
              <w:t xml:space="preserve"> </w:t>
            </w:r>
            <w:r w:rsidR="00A54B45">
              <w:rPr>
                <w:rFonts w:ascii="Calibri" w:eastAsia="Calibri" w:hAnsi="Calibri"/>
                <w:b/>
                <w:noProof/>
                <w:color w:val="808080"/>
                <w:sz w:val="44"/>
                <w:szCs w:val="44"/>
              </w:rPr>
              <w:t>Resource Conservation and Recovery Act</w:t>
            </w:r>
          </w:p>
          <w:p w14:paraId="332E9EEF" w14:textId="7B381DE2" w:rsidR="00A54B45" w:rsidRPr="00A54B45" w:rsidRDefault="00A54B45" w:rsidP="006C4998">
            <w:pPr>
              <w:ind w:left="288"/>
              <w:rPr>
                <w:rFonts w:ascii="Calibri" w:eastAsia="Calibri" w:hAnsi="Calibri"/>
                <w:b/>
                <w:noProof/>
                <w:color w:val="808080"/>
                <w:sz w:val="32"/>
                <w:szCs w:val="32"/>
              </w:rPr>
            </w:pPr>
            <w:r w:rsidRPr="00A54B45">
              <w:rPr>
                <w:rFonts w:ascii="Calibri" w:eastAsia="Calibri" w:hAnsi="Calibri"/>
                <w:b/>
                <w:noProof/>
                <w:color w:val="808080"/>
                <w:sz w:val="32"/>
                <w:szCs w:val="32"/>
              </w:rPr>
              <w:t>Regulation of Household Hazardous Waste</w:t>
            </w:r>
          </w:p>
        </w:tc>
      </w:tr>
    </w:tbl>
    <w:p w14:paraId="317299E1" w14:textId="3FC6F72C" w:rsidR="00556EEB" w:rsidRPr="00C52A57" w:rsidRDefault="00556EEB" w:rsidP="00556EEB">
      <w:pPr>
        <w:pStyle w:val="Heading1"/>
        <w:tabs>
          <w:tab w:val="left" w:pos="360"/>
          <w:tab w:val="left" w:pos="720"/>
        </w:tabs>
        <w:spacing w:before="360"/>
        <w:rPr>
          <w:rFonts w:ascii="Calibri Light" w:hAnsi="Calibri Light" w:cs="Calibri Light"/>
          <w:sz w:val="22"/>
          <w:szCs w:val="22"/>
        </w:rPr>
      </w:pPr>
      <w:r w:rsidRPr="00C52A57">
        <w:rPr>
          <w:rFonts w:ascii="Calibri Light" w:hAnsi="Calibri Light" w:cs="Calibri Light"/>
          <w:sz w:val="22"/>
          <w:szCs w:val="22"/>
        </w:rPr>
        <w:t>1.</w:t>
      </w:r>
      <w:r w:rsidRPr="00C52A57">
        <w:rPr>
          <w:rFonts w:ascii="Calibri Light" w:hAnsi="Calibri Light" w:cs="Calibri Light"/>
          <w:sz w:val="22"/>
          <w:szCs w:val="22"/>
        </w:rPr>
        <w:tab/>
        <w:t>Introduction</w:t>
      </w:r>
    </w:p>
    <w:p w14:paraId="1A3006C4" w14:textId="77777777" w:rsidR="00A54B45" w:rsidRPr="00A54B45" w:rsidRDefault="00A54B45" w:rsidP="00A54B45">
      <w:pPr>
        <w:pStyle w:val="BodyText"/>
        <w:widowControl w:val="0"/>
        <w:adjustRightInd w:val="0"/>
        <w:spacing w:before="0" w:after="0" w:line="276" w:lineRule="auto"/>
        <w:ind w:left="360"/>
        <w:textAlignment w:val="baseline"/>
        <w:rPr>
          <w:rFonts w:ascii="Calibri" w:hAnsi="Calibri" w:cs="Calibri"/>
          <w:szCs w:val="21"/>
        </w:rPr>
      </w:pPr>
      <w:r w:rsidRPr="00A54B45">
        <w:rPr>
          <w:rFonts w:ascii="Calibri" w:hAnsi="Calibri" w:cs="Calibri"/>
          <w:shd w:val="clear" w:color="auto" w:fill="FFFFFF"/>
        </w:rPr>
        <w:t>Under the Resource Conservation and Recovery Act (</w:t>
      </w:r>
      <w:hyperlink r:id="rId9" w:history="1">
        <w:r w:rsidRPr="00A54B45">
          <w:rPr>
            <w:rStyle w:val="Hyperlink"/>
            <w:rFonts w:ascii="Calibri" w:hAnsi="Calibri" w:cs="Calibri"/>
            <w:color w:val="0000FF"/>
            <w:shd w:val="clear" w:color="auto" w:fill="FFFFFF"/>
          </w:rPr>
          <w:t>RCRA</w:t>
        </w:r>
      </w:hyperlink>
      <w:r w:rsidRPr="00A54B45">
        <w:rPr>
          <w:rFonts w:ascii="Calibri" w:hAnsi="Calibri" w:cs="Calibri"/>
          <w:shd w:val="clear" w:color="auto" w:fill="FFFFFF"/>
        </w:rPr>
        <w:t xml:space="preserve">), the US </w:t>
      </w:r>
      <w:r w:rsidRPr="00A54B45">
        <w:rPr>
          <w:rStyle w:val="BodyText2Char"/>
          <w:rFonts w:asciiTheme="minorHAnsi" w:hAnsiTheme="minorHAnsi"/>
          <w:bCs/>
        </w:rPr>
        <w:t>Environmental Protection Agency</w:t>
      </w:r>
      <w:r w:rsidRPr="00A54B45">
        <w:rPr>
          <w:rFonts w:ascii="Calibri" w:hAnsi="Calibri" w:cs="Calibri"/>
          <w:shd w:val="clear" w:color="auto" w:fill="FFFFFF"/>
        </w:rPr>
        <w:t xml:space="preserve"> has established regulations that define how household hazardous waste (HHW) is handled, transported, and disposed of. </w:t>
      </w:r>
      <w:r w:rsidRPr="00A54B45">
        <w:rPr>
          <w:rFonts w:ascii="Calibri" w:hAnsi="Calibri" w:cs="Calibri"/>
          <w:szCs w:val="21"/>
        </w:rPr>
        <w:t xml:space="preserve">This document is a general resource guide that contains links to governing regulations and policy related to operating a HHW Program in Minnesota. HHW Program staff should be familiar and comply with all applicable regulations, policies, and operational agreements. </w:t>
      </w:r>
    </w:p>
    <w:p w14:paraId="74E86EB9" w14:textId="6D32916C" w:rsidR="00A54B45" w:rsidRPr="008B1923" w:rsidRDefault="008B1923" w:rsidP="008B1923">
      <w:pPr>
        <w:pStyle w:val="Heading1"/>
        <w:tabs>
          <w:tab w:val="left" w:pos="360"/>
          <w:tab w:val="left" w:pos="720"/>
        </w:tabs>
        <w:spacing w:before="360"/>
        <w:rPr>
          <w:rStyle w:val="BodyText2Char"/>
          <w:rFonts w:ascii="Calibri Light" w:hAnsi="Calibri Light"/>
          <w:bCs/>
          <w:sz w:val="22"/>
        </w:rPr>
      </w:pPr>
      <w:r>
        <w:rPr>
          <w:rStyle w:val="BodyText2Char"/>
          <w:rFonts w:ascii="Calibri Light" w:hAnsi="Calibri Light"/>
          <w:bCs/>
          <w:sz w:val="22"/>
        </w:rPr>
        <w:t>2</w:t>
      </w:r>
      <w:r w:rsidR="00A54B45" w:rsidRPr="008B1923">
        <w:rPr>
          <w:rStyle w:val="BodyText2Char"/>
          <w:rFonts w:ascii="Calibri Light" w:hAnsi="Calibri Light"/>
          <w:bCs/>
          <w:sz w:val="22"/>
        </w:rPr>
        <w:t>.</w:t>
      </w:r>
      <w:r>
        <w:rPr>
          <w:rStyle w:val="BodyText2Char"/>
          <w:rFonts w:ascii="Calibri Light" w:hAnsi="Calibri Light"/>
          <w:bCs/>
          <w:sz w:val="22"/>
        </w:rPr>
        <w:tab/>
      </w:r>
      <w:r w:rsidR="00A54B45" w:rsidRPr="008B1923">
        <w:rPr>
          <w:rStyle w:val="BodyText2Char"/>
          <w:rFonts w:ascii="Calibri Light" w:hAnsi="Calibri Light"/>
          <w:bCs/>
          <w:sz w:val="22"/>
        </w:rPr>
        <w:t>Minnesota Statutes: The Solid Waste Connection</w:t>
      </w:r>
      <w:r w:rsidR="00A54B45" w:rsidRPr="008B1923">
        <w:rPr>
          <w:rStyle w:val="BodyText2Char"/>
          <w:rFonts w:ascii="Calibri Light" w:hAnsi="Calibri Light"/>
          <w:bCs/>
          <w:sz w:val="22"/>
        </w:rPr>
        <w:tab/>
      </w:r>
    </w:p>
    <w:p w14:paraId="4DABE4E1" w14:textId="034FC27E" w:rsidR="00A54B45" w:rsidRPr="00A54B45" w:rsidRDefault="00A54B45" w:rsidP="008B1923">
      <w:pPr>
        <w:pStyle w:val="BodyText"/>
        <w:spacing w:before="0" w:after="0" w:line="276" w:lineRule="auto"/>
        <w:ind w:left="360"/>
        <w:rPr>
          <w:rFonts w:ascii="Calibri" w:hAnsi="Calibri"/>
        </w:rPr>
      </w:pPr>
      <w:bookmarkStart w:id="0" w:name="1960.12(a)"/>
      <w:bookmarkEnd w:id="0"/>
      <w:r w:rsidRPr="00A54B45">
        <w:rPr>
          <w:rStyle w:val="BodyText2Char"/>
          <w:rFonts w:ascii="Calibri" w:hAnsi="Calibri"/>
        </w:rPr>
        <w:t xml:space="preserve">Acceptance and collection of HHW are part of a county’s overall Solid Waste (SW) Management Program. The purpose of this program is to divert the hazardous portion of household waste from the SW, to prevent releases from SW facilities to the environment through </w:t>
      </w:r>
      <w:hyperlink r:id="rId10" w:history="1">
        <w:r w:rsidRPr="00A54B45">
          <w:rPr>
            <w:rStyle w:val="Hyperlink"/>
            <w:rFonts w:ascii="Calibri" w:hAnsi="Calibri"/>
            <w:color w:val="0000FF"/>
            <w:szCs w:val="21"/>
          </w:rPr>
          <w:t>leachate</w:t>
        </w:r>
      </w:hyperlink>
      <w:r w:rsidRPr="00A54B45">
        <w:rPr>
          <w:rStyle w:val="BodyText2Char"/>
          <w:rFonts w:ascii="Calibri" w:hAnsi="Calibri"/>
        </w:rPr>
        <w:t xml:space="preserve">, as well as protect staff from hazardous or dangerous situations. </w:t>
      </w:r>
      <w:r w:rsidRPr="00A54B45">
        <w:rPr>
          <w:rFonts w:ascii="Calibri" w:hAnsi="Calibri"/>
        </w:rPr>
        <w:t xml:space="preserve">Each county is required in section </w:t>
      </w:r>
      <w:hyperlink r:id="rId11" w:history="1">
        <w:r w:rsidRPr="00A54B45">
          <w:rPr>
            <w:rStyle w:val="Hyperlink"/>
            <w:rFonts w:ascii="Calibri" w:hAnsi="Calibri"/>
            <w:color w:val="0000FF"/>
          </w:rPr>
          <w:t>115A.46</w:t>
        </w:r>
        <w:r w:rsidRPr="00A54B45">
          <w:rPr>
            <w:rStyle w:val="Hyperlink"/>
            <w:rFonts w:ascii="Calibri" w:hAnsi="Calibri"/>
            <w:szCs w:val="21"/>
            <w:u w:val="none"/>
          </w:rPr>
          <w:t xml:space="preserve"> </w:t>
        </w:r>
      </w:hyperlink>
      <w:r w:rsidRPr="00A54B45">
        <w:rPr>
          <w:rFonts w:ascii="Calibri" w:hAnsi="Calibri"/>
        </w:rPr>
        <w:t>to include in its SW management plan</w:t>
      </w:r>
      <w:r w:rsidRPr="00A54B45">
        <w:rPr>
          <w:rStyle w:val="BodyText2Char"/>
          <w:rFonts w:ascii="Calibri" w:hAnsi="Calibri"/>
        </w:rPr>
        <w:t xml:space="preserve"> </w:t>
      </w:r>
      <w:r w:rsidRPr="00A54B45">
        <w:rPr>
          <w:rFonts w:ascii="Calibri" w:hAnsi="Calibri"/>
        </w:rPr>
        <w:t>a broad-based public education component</w:t>
      </w:r>
      <w:r w:rsidRPr="00A54B45">
        <w:rPr>
          <w:rStyle w:val="BodyText2Char"/>
          <w:rFonts w:ascii="Calibri" w:hAnsi="Calibri"/>
        </w:rPr>
        <w:t>. S</w:t>
      </w:r>
      <w:r w:rsidRPr="00A54B45">
        <w:rPr>
          <w:rFonts w:ascii="Calibri" w:hAnsi="Calibri"/>
        </w:rPr>
        <w:t xml:space="preserve">everal other statutes apply to collectors and household generators of wastes and products that contain hazardous constituents, including </w:t>
      </w:r>
      <w:hyperlink r:id="rId12" w:history="1">
        <w:r w:rsidRPr="00A54B45">
          <w:rPr>
            <w:rStyle w:val="Hyperlink"/>
            <w:rFonts w:ascii="Calibri" w:hAnsi="Calibri"/>
            <w:color w:val="0000FF"/>
            <w:szCs w:val="21"/>
          </w:rPr>
          <w:t>disposal bans</w:t>
        </w:r>
      </w:hyperlink>
      <w:r w:rsidRPr="00A54B45">
        <w:rPr>
          <w:rFonts w:ascii="Calibri" w:hAnsi="Calibri"/>
        </w:rPr>
        <w:t>.</w:t>
      </w:r>
    </w:p>
    <w:p w14:paraId="30F4E214" w14:textId="3340E9C6" w:rsidR="008B1923" w:rsidRPr="008B1923" w:rsidRDefault="008B1923" w:rsidP="008B1923">
      <w:pPr>
        <w:pStyle w:val="Heading1"/>
        <w:tabs>
          <w:tab w:val="left" w:pos="360"/>
          <w:tab w:val="left" w:pos="720"/>
        </w:tabs>
        <w:spacing w:before="360"/>
        <w:rPr>
          <w:rFonts w:ascii="Calibri Light" w:hAnsi="Calibri Light"/>
          <w:bCs/>
          <w:color w:val="000000" w:themeColor="text1"/>
          <w:sz w:val="22"/>
          <w:szCs w:val="21"/>
        </w:rPr>
      </w:pPr>
      <w:bookmarkStart w:id="1" w:name="_Toc37090769"/>
      <w:r>
        <w:rPr>
          <w:rFonts w:ascii="Calibri Light" w:hAnsi="Calibri Light"/>
          <w:bCs/>
          <w:color w:val="000000" w:themeColor="text1"/>
          <w:sz w:val="22"/>
          <w:szCs w:val="21"/>
        </w:rPr>
        <w:t>3</w:t>
      </w:r>
      <w:r w:rsidRPr="008B1923">
        <w:rPr>
          <w:rFonts w:ascii="Calibri Light" w:hAnsi="Calibri Light"/>
          <w:bCs/>
          <w:color w:val="000000" w:themeColor="text1"/>
          <w:sz w:val="22"/>
          <w:szCs w:val="21"/>
        </w:rPr>
        <w:t>.</w:t>
      </w:r>
      <w:r>
        <w:rPr>
          <w:rFonts w:ascii="Calibri Light" w:hAnsi="Calibri Light"/>
          <w:bCs/>
          <w:color w:val="000000" w:themeColor="text1"/>
          <w:sz w:val="22"/>
          <w:szCs w:val="21"/>
        </w:rPr>
        <w:tab/>
      </w:r>
      <w:r w:rsidRPr="008B1923">
        <w:rPr>
          <w:rFonts w:ascii="Calibri Light" w:hAnsi="Calibri Light"/>
          <w:bCs/>
          <w:color w:val="000000" w:themeColor="text1"/>
          <w:sz w:val="22"/>
          <w:szCs w:val="21"/>
        </w:rPr>
        <w:t>Minnesota Hazardous Waste Rules</w:t>
      </w:r>
    </w:p>
    <w:p w14:paraId="3D91D3C9" w14:textId="084D8053" w:rsidR="008B1923" w:rsidRPr="008B1923" w:rsidRDefault="008B1923" w:rsidP="008B1923">
      <w:pPr>
        <w:pStyle w:val="BodyText"/>
        <w:widowControl w:val="0"/>
        <w:adjustRightInd w:val="0"/>
        <w:spacing w:before="0" w:after="0" w:line="276" w:lineRule="auto"/>
        <w:ind w:left="360"/>
        <w:textAlignment w:val="baseline"/>
        <w:rPr>
          <w:rStyle w:val="BodyText2Char"/>
          <w:rFonts w:asciiTheme="minorHAnsi" w:hAnsiTheme="minorHAnsi"/>
        </w:rPr>
      </w:pPr>
      <w:r w:rsidRPr="008B1923">
        <w:rPr>
          <w:rStyle w:val="BodyText2Char"/>
          <w:rFonts w:asciiTheme="minorHAnsi" w:hAnsiTheme="minorHAnsi"/>
        </w:rPr>
        <w:t xml:space="preserve">Although RCRA governs the collection and management of hazardous wastes, it does not specifically include regulations for HHW. At the state level, Minnesota has adopted its own version of </w:t>
      </w:r>
      <w:hyperlink r:id="rId13" w:history="1">
        <w:r w:rsidRPr="008B1923">
          <w:rPr>
            <w:rStyle w:val="BodyText2Char"/>
            <w:rFonts w:asciiTheme="minorHAnsi" w:hAnsiTheme="minorHAnsi"/>
            <w:color w:val="0000FF"/>
            <w:u w:val="single"/>
          </w:rPr>
          <w:t>CFR Part 262</w:t>
        </w:r>
      </w:hyperlink>
      <w:r w:rsidRPr="008B1923">
        <w:rPr>
          <w:rStyle w:val="BodyText2Char"/>
          <w:rFonts w:asciiTheme="minorHAnsi" w:hAnsiTheme="minorHAnsi"/>
        </w:rPr>
        <w:t xml:space="preserve">. The most common HHW rules and statues apply in </w:t>
      </w:r>
      <w:hyperlink r:id="rId14" w:history="1">
        <w:r w:rsidRPr="008B1923">
          <w:rPr>
            <w:rStyle w:val="BodyText2Char"/>
            <w:rFonts w:asciiTheme="minorHAnsi" w:hAnsiTheme="minorHAnsi"/>
            <w:color w:val="0000FF"/>
            <w:u w:val="single"/>
          </w:rPr>
          <w:t>7045.0310</w:t>
        </w:r>
      </w:hyperlink>
      <w:r w:rsidRPr="008B1923">
        <w:rPr>
          <w:rStyle w:val="BodyText2Char"/>
          <w:rFonts w:asciiTheme="minorHAnsi" w:hAnsiTheme="minorHAnsi"/>
        </w:rPr>
        <w:t xml:space="preserve"> </w:t>
      </w:r>
      <w:r w:rsidRPr="008B1923">
        <w:rPr>
          <w:rStyle w:val="BodyText2Char"/>
          <w:rFonts w:asciiTheme="minorHAnsi" w:eastAsia="BatangChe" w:hAnsiTheme="minorHAnsi"/>
        </w:rPr>
        <w:t>,</w:t>
      </w:r>
      <w:r w:rsidRPr="008B1923">
        <w:rPr>
          <w:rStyle w:val="BodyText2Char"/>
          <w:rFonts w:asciiTheme="minorHAnsi" w:hAnsiTheme="minorHAnsi"/>
        </w:rPr>
        <w:t xml:space="preserve"> </w:t>
      </w:r>
      <w:hyperlink r:id="rId15" w:history="1">
        <w:r w:rsidRPr="008B1923">
          <w:rPr>
            <w:rStyle w:val="BodyText2Char"/>
            <w:rFonts w:asciiTheme="minorHAnsi" w:hAnsiTheme="minorHAnsi"/>
            <w:color w:val="0000FF"/>
            <w:u w:val="single"/>
          </w:rPr>
          <w:t>115A.96</w:t>
        </w:r>
      </w:hyperlink>
      <w:r w:rsidRPr="008B1923">
        <w:rPr>
          <w:rStyle w:val="BodyText2Char"/>
          <w:rFonts w:asciiTheme="minorHAnsi" w:hAnsiTheme="minorHAnsi"/>
        </w:rPr>
        <w:t xml:space="preserve"> and </w:t>
      </w:r>
      <w:hyperlink r:id="rId16" w:history="1">
        <w:r w:rsidRPr="008B1923">
          <w:rPr>
            <w:rStyle w:val="BodyText2Char"/>
            <w:rFonts w:asciiTheme="minorHAnsi" w:hAnsiTheme="minorHAnsi"/>
            <w:color w:val="0000FF"/>
            <w:u w:val="single"/>
          </w:rPr>
          <w:t>473.811</w:t>
        </w:r>
      </w:hyperlink>
      <w:r w:rsidRPr="008B1923">
        <w:rPr>
          <w:rStyle w:val="BodyText2Char"/>
          <w:rFonts w:asciiTheme="minorHAnsi" w:hAnsiTheme="minorHAnsi"/>
        </w:rPr>
        <w:t>, which frame the development and operation of HHW Programs in both Metropolitan (metro) and Greater MN counties.</w:t>
      </w:r>
      <w:r w:rsidR="008F69FD">
        <w:rPr>
          <w:rStyle w:val="BodyText2Char"/>
          <w:rFonts w:asciiTheme="minorHAnsi" w:hAnsiTheme="minorHAnsi"/>
        </w:rPr>
        <w:t xml:space="preserve"> M</w:t>
      </w:r>
      <w:r w:rsidRPr="008B1923">
        <w:rPr>
          <w:rStyle w:val="BodyText2Char"/>
          <w:rFonts w:asciiTheme="minorHAnsi" w:hAnsiTheme="minorHAnsi"/>
        </w:rPr>
        <w:t>innesota Rules contains the standards applicable to HHW facilities and staff; the HHW rule itself is relatively short because it refers to the sections of the general HW rule, which a HHW Program must comply with. The rules also contain specific exemptions and allowances not applicable to other HW generators and collection facilities.</w:t>
      </w:r>
    </w:p>
    <w:p w14:paraId="471375C7" w14:textId="77777777" w:rsidR="008B1923" w:rsidRPr="008B1923" w:rsidRDefault="008B1923" w:rsidP="008B1923">
      <w:pPr>
        <w:pStyle w:val="BodyText"/>
        <w:widowControl w:val="0"/>
        <w:adjustRightInd w:val="0"/>
        <w:spacing w:before="120" w:after="0" w:line="276" w:lineRule="auto"/>
        <w:ind w:left="360"/>
        <w:textAlignment w:val="baseline"/>
        <w:rPr>
          <w:rStyle w:val="BodyText2Char"/>
          <w:rFonts w:asciiTheme="minorHAnsi" w:hAnsiTheme="minorHAnsi"/>
        </w:rPr>
      </w:pPr>
      <w:r w:rsidRPr="008B1923">
        <w:rPr>
          <w:rStyle w:val="BodyText2Char"/>
          <w:rFonts w:asciiTheme="minorHAnsi" w:hAnsiTheme="minorHAnsi"/>
        </w:rPr>
        <w:t xml:space="preserve">In general, HHW rules state that if an entity collects discarded household products that meet HW criteria due to </w:t>
      </w:r>
      <w:hyperlink r:id="rId17" w:history="1">
        <w:r w:rsidRPr="008B1923">
          <w:rPr>
            <w:rStyle w:val="BodyText2Char"/>
            <w:rFonts w:asciiTheme="minorHAnsi" w:hAnsiTheme="minorHAnsi"/>
            <w:color w:val="0000FF"/>
            <w:u w:val="single"/>
          </w:rPr>
          <w:t>characteristics</w:t>
        </w:r>
      </w:hyperlink>
      <w:r w:rsidRPr="008B1923">
        <w:rPr>
          <w:rStyle w:val="BodyText2Char"/>
          <w:rFonts w:asciiTheme="minorHAnsi" w:hAnsiTheme="minorHAnsi"/>
        </w:rPr>
        <w:t xml:space="preserve">, are </w:t>
      </w:r>
      <w:hyperlink r:id="rId18" w:history="1">
        <w:r w:rsidRPr="008B1923">
          <w:rPr>
            <w:rStyle w:val="BodyText2Char"/>
            <w:rFonts w:asciiTheme="minorHAnsi" w:hAnsiTheme="minorHAnsi"/>
            <w:color w:val="0000FF"/>
            <w:u w:val="single"/>
          </w:rPr>
          <w:t>listed</w:t>
        </w:r>
      </w:hyperlink>
      <w:r w:rsidRPr="008B1923">
        <w:rPr>
          <w:rStyle w:val="BodyText2Char"/>
          <w:rFonts w:asciiTheme="minorHAnsi" w:hAnsiTheme="minorHAnsi"/>
        </w:rPr>
        <w:t xml:space="preserve">, or are toxic or hazardous due to the ingredients contained in them, the collector is then considered a HHW Program and is responsible for proper management, </w:t>
      </w:r>
      <w:hyperlink r:id="rId19" w:history="1">
        <w:r w:rsidRPr="008B1923">
          <w:rPr>
            <w:rStyle w:val="BodyText2Char"/>
            <w:rFonts w:asciiTheme="minorHAnsi" w:hAnsiTheme="minorHAnsi"/>
            <w:color w:val="0000FF"/>
            <w:u w:val="single"/>
          </w:rPr>
          <w:t>storage</w:t>
        </w:r>
      </w:hyperlink>
      <w:r w:rsidRPr="008B1923">
        <w:rPr>
          <w:rStyle w:val="BodyText2Char"/>
          <w:rFonts w:asciiTheme="minorHAnsi" w:hAnsiTheme="minorHAnsi"/>
        </w:rPr>
        <w:t xml:space="preserve">, disposal and </w:t>
      </w:r>
      <w:hyperlink r:id="rId20" w:history="1">
        <w:r w:rsidRPr="008B1923">
          <w:rPr>
            <w:rStyle w:val="BodyText2Char"/>
            <w:rFonts w:asciiTheme="minorHAnsi" w:hAnsiTheme="minorHAnsi"/>
            <w:color w:val="0000FF"/>
            <w:u w:val="single"/>
          </w:rPr>
          <w:t>transport</w:t>
        </w:r>
      </w:hyperlink>
      <w:r w:rsidRPr="008B1923">
        <w:rPr>
          <w:rStyle w:val="BodyText2Char"/>
          <w:rFonts w:asciiTheme="minorHAnsi" w:hAnsiTheme="minorHAnsi"/>
        </w:rPr>
        <w:t xml:space="preserve"> of those materials. </w:t>
      </w:r>
    </w:p>
    <w:bookmarkEnd w:id="1"/>
    <w:p w14:paraId="389E0696" w14:textId="36A9D660" w:rsidR="00CD7974" w:rsidRPr="00CD7974" w:rsidRDefault="00CD7974" w:rsidP="00CD7974">
      <w:pPr>
        <w:pStyle w:val="Heading1"/>
        <w:tabs>
          <w:tab w:val="left" w:pos="360"/>
          <w:tab w:val="left" w:pos="720"/>
        </w:tabs>
        <w:spacing w:before="360"/>
        <w:rPr>
          <w:rFonts w:ascii="Calibri Light" w:hAnsi="Calibri Light"/>
          <w:bCs/>
          <w:color w:val="000000" w:themeColor="text1"/>
          <w:sz w:val="22"/>
          <w:szCs w:val="21"/>
        </w:rPr>
      </w:pPr>
      <w:r>
        <w:rPr>
          <w:rFonts w:ascii="Calibri Light" w:hAnsi="Calibri Light"/>
          <w:bCs/>
          <w:color w:val="000000" w:themeColor="text1"/>
          <w:sz w:val="22"/>
          <w:szCs w:val="21"/>
        </w:rPr>
        <w:t>4</w:t>
      </w:r>
      <w:r w:rsidRPr="00CD7974">
        <w:rPr>
          <w:rFonts w:ascii="Calibri Light" w:hAnsi="Calibri Light"/>
          <w:bCs/>
          <w:color w:val="000000" w:themeColor="text1"/>
          <w:sz w:val="22"/>
          <w:szCs w:val="21"/>
        </w:rPr>
        <w:t>.</w:t>
      </w:r>
      <w:r w:rsidRPr="00CD7974">
        <w:rPr>
          <w:rFonts w:ascii="Calibri Light" w:hAnsi="Calibri Light"/>
          <w:bCs/>
          <w:color w:val="000000" w:themeColor="text1"/>
          <w:sz w:val="22"/>
          <w:szCs w:val="21"/>
        </w:rPr>
        <w:tab/>
        <w:t>Very Small Quantity Generator (VSQG) Collection Rules</w:t>
      </w:r>
    </w:p>
    <w:p w14:paraId="216F8B2D" w14:textId="77777777" w:rsidR="00CD7974" w:rsidRPr="006925DF" w:rsidRDefault="00CD7974" w:rsidP="00CD7974">
      <w:pPr>
        <w:pStyle w:val="BodyText"/>
        <w:widowControl w:val="0"/>
        <w:adjustRightInd w:val="0"/>
        <w:spacing w:before="0" w:after="0" w:line="276" w:lineRule="auto"/>
        <w:ind w:left="360"/>
        <w:textAlignment w:val="baseline"/>
        <w:rPr>
          <w:rStyle w:val="BodyText2Char"/>
          <w:rFonts w:asciiTheme="minorHAnsi" w:hAnsiTheme="minorHAnsi"/>
          <w:bCs/>
        </w:rPr>
      </w:pPr>
      <w:r>
        <w:rPr>
          <w:rStyle w:val="BodyText2Char"/>
          <w:rFonts w:asciiTheme="minorHAnsi" w:hAnsiTheme="minorHAnsi"/>
          <w:bCs/>
        </w:rPr>
        <w:t>Some</w:t>
      </w:r>
      <w:r w:rsidRPr="006925DF">
        <w:rPr>
          <w:rStyle w:val="BodyText2Char"/>
          <w:rFonts w:asciiTheme="minorHAnsi" w:hAnsiTheme="minorHAnsi"/>
          <w:bCs/>
        </w:rPr>
        <w:t xml:space="preserve"> HHW Programs also collect HW from businesses </w:t>
      </w:r>
      <w:r>
        <w:rPr>
          <w:rStyle w:val="BodyText2Char"/>
          <w:rFonts w:asciiTheme="minorHAnsi" w:hAnsiTheme="minorHAnsi"/>
          <w:bCs/>
        </w:rPr>
        <w:t>qualifying as a VSQG</w:t>
      </w:r>
      <w:r w:rsidRPr="006925DF">
        <w:rPr>
          <w:rStyle w:val="BodyText2Char"/>
          <w:rFonts w:asciiTheme="minorHAnsi" w:hAnsiTheme="minorHAnsi"/>
          <w:bCs/>
        </w:rPr>
        <w:t xml:space="preserve"> that generate less than 220 pounds </w:t>
      </w:r>
      <w:r>
        <w:rPr>
          <w:rStyle w:val="BodyText2Char"/>
          <w:rFonts w:asciiTheme="minorHAnsi" w:hAnsiTheme="minorHAnsi"/>
          <w:bCs/>
        </w:rPr>
        <w:t xml:space="preserve">(or </w:t>
      </w:r>
      <w:r w:rsidRPr="006925DF">
        <w:rPr>
          <w:rStyle w:val="BodyText2Char"/>
          <w:rFonts w:asciiTheme="minorHAnsi" w:hAnsiTheme="minorHAnsi"/>
          <w:bCs/>
        </w:rPr>
        <w:t>approximately 22 gallons</w:t>
      </w:r>
      <w:r>
        <w:rPr>
          <w:rStyle w:val="BodyText2Char"/>
          <w:rFonts w:asciiTheme="minorHAnsi" w:hAnsiTheme="minorHAnsi"/>
          <w:bCs/>
        </w:rPr>
        <w:t>)</w:t>
      </w:r>
      <w:r w:rsidRPr="006925DF">
        <w:rPr>
          <w:rStyle w:val="BodyText2Char"/>
          <w:rFonts w:asciiTheme="minorHAnsi" w:hAnsiTheme="minorHAnsi"/>
          <w:bCs/>
        </w:rPr>
        <w:t xml:space="preserve"> </w:t>
      </w:r>
      <w:r>
        <w:rPr>
          <w:rStyle w:val="BodyText2Char"/>
          <w:rFonts w:asciiTheme="minorHAnsi" w:hAnsiTheme="minorHAnsi"/>
          <w:bCs/>
        </w:rPr>
        <w:t xml:space="preserve">of HW </w:t>
      </w:r>
      <w:r w:rsidRPr="006925DF">
        <w:rPr>
          <w:rStyle w:val="BodyText2Char"/>
          <w:rFonts w:asciiTheme="minorHAnsi" w:hAnsiTheme="minorHAnsi"/>
          <w:bCs/>
        </w:rPr>
        <w:t>per month</w:t>
      </w:r>
      <w:r>
        <w:rPr>
          <w:rStyle w:val="BodyText2Char"/>
          <w:rFonts w:asciiTheme="minorHAnsi" w:hAnsiTheme="minorHAnsi"/>
          <w:bCs/>
        </w:rPr>
        <w:t>. I</w:t>
      </w:r>
      <w:r w:rsidRPr="006925DF">
        <w:rPr>
          <w:rStyle w:val="BodyText2Char"/>
          <w:rFonts w:asciiTheme="minorHAnsi" w:hAnsiTheme="minorHAnsi"/>
          <w:bCs/>
        </w:rPr>
        <w:t>t is up to th</w:t>
      </w:r>
      <w:r>
        <w:rPr>
          <w:rStyle w:val="BodyText2Char"/>
          <w:rFonts w:asciiTheme="minorHAnsi" w:hAnsiTheme="minorHAnsi"/>
          <w:bCs/>
        </w:rPr>
        <w:t xml:space="preserve">is HHW Program </w:t>
      </w:r>
      <w:r w:rsidRPr="006925DF">
        <w:rPr>
          <w:rStyle w:val="BodyText2Char"/>
          <w:rFonts w:asciiTheme="minorHAnsi" w:hAnsiTheme="minorHAnsi"/>
          <w:bCs/>
        </w:rPr>
        <w:t>to determine whether to accept HW from non-household</w:t>
      </w:r>
      <w:r>
        <w:rPr>
          <w:rStyle w:val="BodyText2Char"/>
          <w:rFonts w:asciiTheme="minorHAnsi" w:hAnsiTheme="minorHAnsi"/>
          <w:bCs/>
        </w:rPr>
        <w:t xml:space="preserve"> generators (</w:t>
      </w:r>
      <w:r w:rsidRPr="006925DF">
        <w:rPr>
          <w:rStyle w:val="BodyText2Char"/>
          <w:rFonts w:asciiTheme="minorHAnsi" w:hAnsiTheme="minorHAnsi"/>
          <w:bCs/>
        </w:rPr>
        <w:t xml:space="preserve">MN Rule </w:t>
      </w:r>
      <w:hyperlink r:id="rId21" w:history="1">
        <w:r w:rsidRPr="00035F36">
          <w:rPr>
            <w:rStyle w:val="Hyperlink"/>
            <w:rFonts w:asciiTheme="minorHAnsi" w:eastAsia="BatangChe" w:hAnsiTheme="minorHAnsi"/>
            <w:color w:val="0000FF"/>
            <w:szCs w:val="21"/>
          </w:rPr>
          <w:t>7045.0320</w:t>
        </w:r>
      </w:hyperlink>
      <w:r w:rsidRPr="006925DF">
        <w:rPr>
          <w:rStyle w:val="BodyText2Char"/>
          <w:rFonts w:asciiTheme="minorHAnsi" w:hAnsiTheme="minorHAnsi"/>
          <w:bCs/>
        </w:rPr>
        <w:t xml:space="preserve"> appl</w:t>
      </w:r>
      <w:r>
        <w:rPr>
          <w:rStyle w:val="BodyText2Char"/>
          <w:rFonts w:asciiTheme="minorHAnsi" w:hAnsiTheme="minorHAnsi"/>
          <w:bCs/>
        </w:rPr>
        <w:t>ies</w:t>
      </w:r>
      <w:r w:rsidRPr="006925DF">
        <w:rPr>
          <w:rStyle w:val="BodyText2Char"/>
          <w:rFonts w:asciiTheme="minorHAnsi" w:hAnsiTheme="minorHAnsi"/>
          <w:bCs/>
        </w:rPr>
        <w:t xml:space="preserve"> to </w:t>
      </w:r>
      <w:r>
        <w:rPr>
          <w:rStyle w:val="BodyText2Char"/>
          <w:rFonts w:asciiTheme="minorHAnsi" w:hAnsiTheme="minorHAnsi"/>
          <w:bCs/>
        </w:rPr>
        <w:t xml:space="preserve">licensed </w:t>
      </w:r>
      <w:r w:rsidRPr="006925DF">
        <w:rPr>
          <w:rStyle w:val="BodyText2Char"/>
          <w:rFonts w:asciiTheme="minorHAnsi" w:hAnsiTheme="minorHAnsi"/>
          <w:bCs/>
        </w:rPr>
        <w:t xml:space="preserve">HHW </w:t>
      </w:r>
      <w:r>
        <w:rPr>
          <w:rStyle w:val="BodyText2Char"/>
          <w:rFonts w:asciiTheme="minorHAnsi" w:hAnsiTheme="minorHAnsi"/>
          <w:bCs/>
        </w:rPr>
        <w:t xml:space="preserve">VSQG </w:t>
      </w:r>
      <w:r w:rsidRPr="006925DF">
        <w:rPr>
          <w:rStyle w:val="BodyText2Char"/>
          <w:rFonts w:asciiTheme="minorHAnsi" w:hAnsiTheme="minorHAnsi"/>
          <w:bCs/>
        </w:rPr>
        <w:t>collection sites</w:t>
      </w:r>
      <w:r>
        <w:rPr>
          <w:rStyle w:val="BodyText2Char"/>
          <w:rFonts w:asciiTheme="minorHAnsi" w:hAnsiTheme="minorHAnsi"/>
          <w:bCs/>
        </w:rPr>
        <w:t xml:space="preserve">). </w:t>
      </w:r>
    </w:p>
    <w:p w14:paraId="247A71B6" w14:textId="05679CB8" w:rsidR="00CD7974" w:rsidRPr="00CD7974" w:rsidRDefault="00CD7974" w:rsidP="00CD7974">
      <w:pPr>
        <w:pStyle w:val="Heading1"/>
        <w:tabs>
          <w:tab w:val="left" w:pos="360"/>
          <w:tab w:val="left" w:pos="720"/>
        </w:tabs>
        <w:spacing w:before="360"/>
        <w:rPr>
          <w:rFonts w:ascii="Calibri Light" w:hAnsi="Calibri Light"/>
          <w:bCs/>
          <w:color w:val="000000" w:themeColor="text1"/>
          <w:sz w:val="22"/>
          <w:szCs w:val="21"/>
        </w:rPr>
      </w:pPr>
      <w:r>
        <w:rPr>
          <w:rFonts w:ascii="Calibri Light" w:hAnsi="Calibri Light"/>
          <w:bCs/>
          <w:color w:val="000000" w:themeColor="text1"/>
          <w:sz w:val="22"/>
          <w:szCs w:val="21"/>
        </w:rPr>
        <w:lastRenderedPageBreak/>
        <w:t>5</w:t>
      </w:r>
      <w:r w:rsidRPr="00CD7974">
        <w:rPr>
          <w:rFonts w:ascii="Calibri Light" w:hAnsi="Calibri Light"/>
          <w:bCs/>
          <w:color w:val="000000" w:themeColor="text1"/>
          <w:sz w:val="22"/>
          <w:szCs w:val="21"/>
        </w:rPr>
        <w:t>.</w:t>
      </w:r>
      <w:r w:rsidRPr="00CD7974">
        <w:rPr>
          <w:rFonts w:ascii="Calibri Light" w:hAnsi="Calibri Light"/>
          <w:bCs/>
          <w:color w:val="000000" w:themeColor="text1"/>
          <w:sz w:val="22"/>
          <w:szCs w:val="21"/>
        </w:rPr>
        <w:tab/>
        <w:t>Metro County Ordinances</w:t>
      </w:r>
    </w:p>
    <w:p w14:paraId="08692731" w14:textId="6AE52DA9" w:rsidR="00CD7974" w:rsidRDefault="00CD7974" w:rsidP="00CD7974">
      <w:pPr>
        <w:pStyle w:val="BodyText"/>
        <w:widowControl w:val="0"/>
        <w:adjustRightInd w:val="0"/>
        <w:spacing w:before="0" w:after="0" w:line="276" w:lineRule="auto"/>
        <w:ind w:left="360"/>
        <w:textAlignment w:val="baseline"/>
        <w:rPr>
          <w:rStyle w:val="BodyText2Char"/>
          <w:rFonts w:asciiTheme="minorHAnsi" w:hAnsiTheme="minorHAnsi"/>
          <w:bCs/>
        </w:rPr>
      </w:pPr>
      <w:r>
        <w:rPr>
          <w:rStyle w:val="BodyText2Char"/>
          <w:rFonts w:asciiTheme="minorHAnsi" w:hAnsiTheme="minorHAnsi"/>
          <w:bCs/>
        </w:rPr>
        <w:t>HW business generators are regulated by t</w:t>
      </w:r>
      <w:r w:rsidRPr="006925DF">
        <w:rPr>
          <w:rStyle w:val="BodyText2Char"/>
          <w:rFonts w:asciiTheme="minorHAnsi" w:hAnsiTheme="minorHAnsi"/>
          <w:bCs/>
        </w:rPr>
        <w:t xml:space="preserve">he </w:t>
      </w:r>
      <w:r w:rsidR="00B0090C">
        <w:rPr>
          <w:rStyle w:val="BodyText2Char"/>
          <w:rFonts w:asciiTheme="minorHAnsi" w:hAnsiTheme="minorHAnsi"/>
          <w:bCs/>
        </w:rPr>
        <w:t>Minnesota Pollution Control Agency (</w:t>
      </w:r>
      <w:r w:rsidRPr="006925DF">
        <w:rPr>
          <w:rStyle w:val="BodyText2Char"/>
          <w:rFonts w:asciiTheme="minorHAnsi" w:hAnsiTheme="minorHAnsi"/>
          <w:bCs/>
        </w:rPr>
        <w:t>MPCA</w:t>
      </w:r>
      <w:r w:rsidR="00B0090C">
        <w:rPr>
          <w:rStyle w:val="BodyText2Char"/>
          <w:rFonts w:asciiTheme="minorHAnsi" w:hAnsiTheme="minorHAnsi"/>
          <w:bCs/>
        </w:rPr>
        <w:t>)</w:t>
      </w:r>
      <w:r w:rsidRPr="006925DF">
        <w:rPr>
          <w:rStyle w:val="BodyText2Char"/>
          <w:rFonts w:asciiTheme="minorHAnsi" w:hAnsiTheme="minorHAnsi"/>
          <w:bCs/>
        </w:rPr>
        <w:t xml:space="preserve"> in greater MN</w:t>
      </w:r>
      <w:r>
        <w:rPr>
          <w:rStyle w:val="BodyText2Char"/>
          <w:rFonts w:asciiTheme="minorHAnsi" w:hAnsiTheme="minorHAnsi"/>
          <w:bCs/>
        </w:rPr>
        <w:t>, while t</w:t>
      </w:r>
      <w:r w:rsidRPr="004B6998">
        <w:rPr>
          <w:rStyle w:val="BodyText2Char"/>
          <w:rFonts w:asciiTheme="minorHAnsi" w:hAnsiTheme="minorHAnsi"/>
          <w:bCs/>
        </w:rPr>
        <w:t>he seven</w:t>
      </w:r>
      <w:r>
        <w:rPr>
          <w:rStyle w:val="BodyText2Char"/>
          <w:rFonts w:asciiTheme="minorHAnsi" w:hAnsiTheme="minorHAnsi"/>
          <w:bCs/>
        </w:rPr>
        <w:t xml:space="preserve"> MN</w:t>
      </w:r>
      <w:r w:rsidRPr="004B6998">
        <w:rPr>
          <w:rStyle w:val="BodyText2Char"/>
          <w:rFonts w:asciiTheme="minorHAnsi" w:hAnsiTheme="minorHAnsi"/>
          <w:bCs/>
        </w:rPr>
        <w:t xml:space="preserve"> metro counties</w:t>
      </w:r>
      <w:r>
        <w:rPr>
          <w:rStyle w:val="BodyText2Char"/>
          <w:rFonts w:asciiTheme="minorHAnsi" w:hAnsiTheme="minorHAnsi"/>
          <w:bCs/>
        </w:rPr>
        <w:t xml:space="preserve"> are authorized by the EPA to enforce the </w:t>
      </w:r>
      <w:hyperlink r:id="rId22" w:history="1">
        <w:r w:rsidRPr="00035F36">
          <w:rPr>
            <w:rStyle w:val="Hyperlink"/>
            <w:rFonts w:asciiTheme="minorHAnsi" w:hAnsiTheme="minorHAnsi"/>
            <w:bCs/>
            <w:color w:val="0000FF"/>
            <w:szCs w:val="21"/>
          </w:rPr>
          <w:t>HW rules</w:t>
        </w:r>
      </w:hyperlink>
      <w:r>
        <w:rPr>
          <w:rStyle w:val="BodyText2Char"/>
          <w:rFonts w:asciiTheme="minorHAnsi" w:hAnsiTheme="minorHAnsi"/>
          <w:bCs/>
        </w:rPr>
        <w:t xml:space="preserve"> within their counties and then regulates and licenses through their </w:t>
      </w:r>
      <w:hyperlink r:id="rId23" w:history="1">
        <w:r w:rsidRPr="00035F36">
          <w:rPr>
            <w:rStyle w:val="Hyperlink"/>
            <w:rFonts w:asciiTheme="minorHAnsi" w:hAnsiTheme="minorHAnsi"/>
            <w:bCs/>
            <w:color w:val="0000FF"/>
            <w:szCs w:val="21"/>
          </w:rPr>
          <w:t>ordinances</w:t>
        </w:r>
      </w:hyperlink>
      <w:r>
        <w:rPr>
          <w:rStyle w:val="BodyText2Char"/>
          <w:rFonts w:asciiTheme="minorHAnsi" w:hAnsiTheme="minorHAnsi"/>
          <w:bCs/>
        </w:rPr>
        <w:t>. Each HHW Program should be familiar with their applicable</w:t>
      </w:r>
      <w:r w:rsidRPr="006779B3">
        <w:rPr>
          <w:rStyle w:val="BodyText2Char"/>
          <w:rFonts w:asciiTheme="minorHAnsi" w:hAnsiTheme="minorHAnsi"/>
          <w:bCs/>
        </w:rPr>
        <w:t xml:space="preserve"> </w:t>
      </w:r>
      <w:r>
        <w:rPr>
          <w:rStyle w:val="BodyText2Char"/>
          <w:rFonts w:asciiTheme="minorHAnsi" w:hAnsiTheme="minorHAnsi"/>
          <w:bCs/>
        </w:rPr>
        <w:t>and specific county regulations.</w:t>
      </w:r>
    </w:p>
    <w:p w14:paraId="45112EA2" w14:textId="1613C966" w:rsidR="00CD7974" w:rsidRPr="00CD7974" w:rsidRDefault="00CD7974" w:rsidP="00CD7974">
      <w:pPr>
        <w:pStyle w:val="Heading1"/>
        <w:tabs>
          <w:tab w:val="left" w:pos="360"/>
        </w:tabs>
        <w:spacing w:before="360"/>
        <w:rPr>
          <w:rStyle w:val="BodyText2Char"/>
          <w:rFonts w:ascii="Calibri Light" w:hAnsi="Calibri Light"/>
          <w:bCs/>
          <w:color w:val="000000" w:themeColor="text1"/>
          <w:sz w:val="22"/>
        </w:rPr>
      </w:pPr>
      <w:r>
        <w:rPr>
          <w:rStyle w:val="BodyText2Char"/>
          <w:rFonts w:ascii="Calibri Light" w:hAnsi="Calibri Light"/>
          <w:bCs/>
          <w:color w:val="000000" w:themeColor="text1"/>
          <w:sz w:val="22"/>
        </w:rPr>
        <w:t>6.</w:t>
      </w:r>
      <w:r>
        <w:rPr>
          <w:rStyle w:val="BodyText2Char"/>
          <w:rFonts w:ascii="Calibri Light" w:hAnsi="Calibri Light"/>
          <w:bCs/>
          <w:color w:val="000000" w:themeColor="text1"/>
          <w:sz w:val="22"/>
        </w:rPr>
        <w:tab/>
      </w:r>
      <w:r w:rsidRPr="00CD7974">
        <w:rPr>
          <w:rStyle w:val="BodyText2Char"/>
          <w:rFonts w:ascii="Calibri Light" w:hAnsi="Calibri Light"/>
          <w:bCs/>
          <w:color w:val="000000" w:themeColor="text1"/>
          <w:sz w:val="22"/>
        </w:rPr>
        <w:t>Joint Powers Agreements (JPA)</w:t>
      </w:r>
    </w:p>
    <w:p w14:paraId="3F36E0A8" w14:textId="77777777" w:rsidR="00CD7974" w:rsidRDefault="00CD7974" w:rsidP="00CD7974">
      <w:pPr>
        <w:pStyle w:val="BodyText"/>
        <w:widowControl w:val="0"/>
        <w:adjustRightInd w:val="0"/>
        <w:spacing w:before="0" w:after="0" w:line="276" w:lineRule="auto"/>
        <w:ind w:left="360"/>
        <w:textAlignment w:val="baseline"/>
        <w:rPr>
          <w:rStyle w:val="BodyText2Char"/>
          <w:rFonts w:asciiTheme="minorHAnsi" w:hAnsiTheme="minorHAnsi"/>
          <w:bCs/>
        </w:rPr>
      </w:pPr>
      <w:r w:rsidRPr="004B6998">
        <w:rPr>
          <w:rStyle w:val="BodyText2Char"/>
          <w:rFonts w:asciiTheme="minorHAnsi" w:hAnsiTheme="minorHAnsi"/>
          <w:bCs/>
        </w:rPr>
        <w:t xml:space="preserve">The MPCA </w:t>
      </w:r>
      <w:r>
        <w:rPr>
          <w:rStyle w:val="BodyText2Char"/>
          <w:rFonts w:asciiTheme="minorHAnsi" w:hAnsiTheme="minorHAnsi"/>
          <w:bCs/>
        </w:rPr>
        <w:t xml:space="preserve">and Counties develop and sign a </w:t>
      </w:r>
      <w:hyperlink r:id="rId24" w:history="1">
        <w:r w:rsidRPr="00035F36">
          <w:rPr>
            <w:rStyle w:val="Hyperlink"/>
            <w:rFonts w:asciiTheme="minorHAnsi" w:hAnsiTheme="minorHAnsi"/>
            <w:bCs/>
            <w:color w:val="0000FF"/>
            <w:szCs w:val="21"/>
          </w:rPr>
          <w:t>JPA</w:t>
        </w:r>
      </w:hyperlink>
      <w:r>
        <w:rPr>
          <w:rStyle w:val="BodyText2Char"/>
          <w:rFonts w:asciiTheme="minorHAnsi" w:hAnsiTheme="minorHAnsi"/>
          <w:bCs/>
        </w:rPr>
        <w:t xml:space="preserve">, which outlines the partnership between the State and County or Regional Program to operate a HHW Program. </w:t>
      </w:r>
    </w:p>
    <w:p w14:paraId="6207CE4E" w14:textId="0789E314" w:rsidR="00CD7974" w:rsidRPr="00CD7974" w:rsidRDefault="00CD7974" w:rsidP="00CD7974">
      <w:pPr>
        <w:pStyle w:val="Heading1"/>
        <w:tabs>
          <w:tab w:val="left" w:pos="360"/>
        </w:tabs>
        <w:spacing w:before="360"/>
        <w:rPr>
          <w:rStyle w:val="BodyText2Char"/>
          <w:rFonts w:ascii="Calibri Light" w:hAnsi="Calibri Light"/>
          <w:bCs/>
          <w:color w:val="000000" w:themeColor="text1"/>
          <w:sz w:val="22"/>
        </w:rPr>
      </w:pPr>
      <w:r>
        <w:rPr>
          <w:rStyle w:val="BodyText2Char"/>
          <w:rFonts w:ascii="Calibri Light" w:hAnsi="Calibri Light"/>
          <w:bCs/>
          <w:color w:val="000000" w:themeColor="text1"/>
          <w:sz w:val="22"/>
        </w:rPr>
        <w:t>7.</w:t>
      </w:r>
      <w:r>
        <w:rPr>
          <w:rStyle w:val="BodyText2Char"/>
          <w:rFonts w:ascii="Calibri Light" w:hAnsi="Calibri Light"/>
          <w:bCs/>
          <w:color w:val="000000" w:themeColor="text1"/>
          <w:sz w:val="22"/>
        </w:rPr>
        <w:tab/>
      </w:r>
      <w:r w:rsidRPr="00CD7974">
        <w:rPr>
          <w:rStyle w:val="BodyText2Char"/>
          <w:rFonts w:ascii="Calibri Light" w:hAnsi="Calibri Light"/>
          <w:bCs/>
          <w:color w:val="000000" w:themeColor="text1"/>
          <w:sz w:val="22"/>
        </w:rPr>
        <w:t xml:space="preserve">Policy Decisions and </w:t>
      </w:r>
      <w:r w:rsidRPr="00CD7974">
        <w:rPr>
          <w:rStyle w:val="BodyText2Char"/>
          <w:rFonts w:ascii="Calibri Light" w:hAnsi="Calibri Light"/>
          <w:color w:val="000000" w:themeColor="text1"/>
          <w:sz w:val="22"/>
        </w:rPr>
        <w:t>Standard Operating Procedures (SOPs)</w:t>
      </w:r>
    </w:p>
    <w:p w14:paraId="60826006" w14:textId="77777777" w:rsidR="00CD7974" w:rsidRPr="00C17B09" w:rsidRDefault="00CD7974" w:rsidP="00CD7974">
      <w:pPr>
        <w:pStyle w:val="BodyText"/>
        <w:widowControl w:val="0"/>
        <w:adjustRightInd w:val="0"/>
        <w:spacing w:before="0" w:after="0" w:line="276" w:lineRule="auto"/>
        <w:ind w:left="360"/>
        <w:textAlignment w:val="baseline"/>
        <w:rPr>
          <w:rFonts w:asciiTheme="minorHAnsi" w:hAnsiTheme="minorHAnsi" w:cstheme="minorHAnsi"/>
          <w:color w:val="000000" w:themeColor="text1"/>
          <w:szCs w:val="21"/>
        </w:rPr>
      </w:pPr>
      <w:r w:rsidRPr="00865354">
        <w:rPr>
          <w:rStyle w:val="BodyText2Char"/>
          <w:rFonts w:asciiTheme="minorHAnsi" w:hAnsiTheme="minorHAnsi"/>
          <w:bCs/>
        </w:rPr>
        <w:t xml:space="preserve">In addition to statutes, rules, and ordinances, the MPCA develops </w:t>
      </w:r>
      <w:r w:rsidRPr="00322CC4">
        <w:rPr>
          <w:rFonts w:asciiTheme="minorHAnsi" w:hAnsiTheme="minorHAnsi"/>
          <w:bCs/>
          <w:szCs w:val="21"/>
        </w:rPr>
        <w:t>policy</w:t>
      </w:r>
      <w:r w:rsidRPr="00865354">
        <w:rPr>
          <w:rStyle w:val="BodyText2Char"/>
          <w:rFonts w:asciiTheme="minorHAnsi" w:hAnsiTheme="minorHAnsi"/>
          <w:bCs/>
        </w:rPr>
        <w:t xml:space="preserve"> to cover situations where the rules </w:t>
      </w:r>
      <w:r>
        <w:rPr>
          <w:rStyle w:val="BodyText2Char"/>
          <w:rFonts w:asciiTheme="minorHAnsi" w:hAnsiTheme="minorHAnsi"/>
          <w:bCs/>
        </w:rPr>
        <w:t xml:space="preserve">are silent, unclear or where they </w:t>
      </w:r>
      <w:r w:rsidRPr="00865354">
        <w:rPr>
          <w:rStyle w:val="BodyText2Char"/>
          <w:rFonts w:asciiTheme="minorHAnsi" w:hAnsiTheme="minorHAnsi"/>
          <w:bCs/>
        </w:rPr>
        <w:t xml:space="preserve">prevent </w:t>
      </w:r>
      <w:r>
        <w:rPr>
          <w:rStyle w:val="BodyText2Char"/>
          <w:rFonts w:asciiTheme="minorHAnsi" w:hAnsiTheme="minorHAnsi"/>
          <w:bCs/>
        </w:rPr>
        <w:t xml:space="preserve">efficient HHW collection. </w:t>
      </w:r>
      <w:r w:rsidRPr="00C17B09">
        <w:rPr>
          <w:rFonts w:asciiTheme="minorHAnsi" w:hAnsiTheme="minorHAnsi" w:cstheme="minorHAnsi"/>
          <w:color w:val="000000" w:themeColor="text1"/>
          <w:szCs w:val="21"/>
        </w:rPr>
        <w:t>HHW SOPs address</w:t>
      </w:r>
      <w:r>
        <w:rPr>
          <w:rFonts w:asciiTheme="minorHAnsi" w:hAnsiTheme="minorHAnsi" w:cstheme="minorHAnsi"/>
          <w:color w:val="000000" w:themeColor="text1"/>
          <w:szCs w:val="21"/>
        </w:rPr>
        <w:t xml:space="preserve"> those</w:t>
      </w:r>
      <w:r w:rsidRPr="00C17B09">
        <w:rPr>
          <w:rFonts w:asciiTheme="minorHAnsi" w:hAnsiTheme="minorHAnsi" w:cstheme="minorHAnsi"/>
          <w:color w:val="000000" w:themeColor="text1"/>
          <w:szCs w:val="21"/>
        </w:rPr>
        <w:t xml:space="preserve"> specific portions of the MN Rules</w:t>
      </w:r>
      <w:r>
        <w:rPr>
          <w:rFonts w:asciiTheme="minorHAnsi" w:hAnsiTheme="minorHAnsi" w:cstheme="minorHAnsi"/>
          <w:color w:val="000000" w:themeColor="text1"/>
          <w:szCs w:val="21"/>
        </w:rPr>
        <w:t>; the MPCA website</w:t>
      </w:r>
      <w:r>
        <w:rPr>
          <w:rStyle w:val="BodyText2Char"/>
          <w:rFonts w:asciiTheme="minorHAnsi" w:hAnsiTheme="minorHAnsi"/>
          <w:bCs/>
        </w:rPr>
        <w:t xml:space="preserve"> includes SOP te</w:t>
      </w:r>
      <w:r w:rsidRPr="00C17B09">
        <w:rPr>
          <w:rFonts w:asciiTheme="minorHAnsi" w:hAnsiTheme="minorHAnsi" w:cstheme="minorHAnsi"/>
        </w:rPr>
        <w:t xml:space="preserve">mplates that can be downloaded to individual county files, then </w:t>
      </w:r>
      <w:r>
        <w:rPr>
          <w:rFonts w:asciiTheme="minorHAnsi" w:hAnsiTheme="minorHAnsi" w:cstheme="minorHAnsi"/>
        </w:rPr>
        <w:t>should be modified</w:t>
      </w:r>
      <w:r w:rsidRPr="00C17B09">
        <w:rPr>
          <w:rFonts w:asciiTheme="minorHAnsi" w:hAnsiTheme="minorHAnsi" w:cstheme="minorHAnsi"/>
        </w:rPr>
        <w:t xml:space="preserve"> to be</w:t>
      </w:r>
      <w:r>
        <w:rPr>
          <w:rFonts w:asciiTheme="minorHAnsi" w:hAnsiTheme="minorHAnsi" w:cstheme="minorHAnsi"/>
        </w:rPr>
        <w:t xml:space="preserve"> </w:t>
      </w:r>
      <w:r w:rsidRPr="00C17B09">
        <w:rPr>
          <w:rFonts w:asciiTheme="minorHAnsi" w:hAnsiTheme="minorHAnsi" w:cstheme="minorHAnsi"/>
        </w:rPr>
        <w:t>site specific.</w:t>
      </w:r>
      <w:r>
        <w:rPr>
          <w:rFonts w:asciiTheme="minorHAnsi" w:hAnsiTheme="minorHAnsi" w:cstheme="minorHAnsi"/>
        </w:rPr>
        <w:t xml:space="preserve"> </w:t>
      </w:r>
      <w:r>
        <w:rPr>
          <w:rStyle w:val="BodyText2Char"/>
          <w:rFonts w:asciiTheme="minorHAnsi" w:hAnsiTheme="minorHAnsi"/>
          <w:bCs/>
        </w:rPr>
        <w:t>Some HHW policy decisions, SOPs, and guidance documents are located here:</w:t>
      </w:r>
      <w:r w:rsidRPr="00C17B09">
        <w:rPr>
          <w:rFonts w:asciiTheme="minorHAnsi" w:hAnsiTheme="minorHAnsi" w:cstheme="minorHAnsi"/>
          <w:color w:val="000000" w:themeColor="text1"/>
          <w:szCs w:val="21"/>
        </w:rPr>
        <w:t xml:space="preserve"> </w:t>
      </w:r>
      <w:hyperlink r:id="rId25" w:history="1">
        <w:r w:rsidRPr="00035F36">
          <w:rPr>
            <w:rStyle w:val="Hyperlink"/>
            <w:rFonts w:asciiTheme="minorHAnsi" w:hAnsiTheme="minorHAnsi" w:cstheme="minorHAnsi"/>
            <w:color w:val="0000FF"/>
          </w:rPr>
          <w:t>Household hazardous waste collection | Minnesota Pollution Control Agency (state.mn.us)</w:t>
        </w:r>
      </w:hyperlink>
      <w:r w:rsidRPr="00C17B09">
        <w:rPr>
          <w:rFonts w:asciiTheme="minorHAnsi" w:hAnsiTheme="minorHAnsi" w:cstheme="minorHAnsi"/>
        </w:rPr>
        <w:t xml:space="preserve">. </w:t>
      </w:r>
    </w:p>
    <w:p w14:paraId="04AAB048" w14:textId="6437B94F" w:rsidR="00CD7974" w:rsidRPr="00CD7974" w:rsidRDefault="00CD7974" w:rsidP="00CD7974">
      <w:pPr>
        <w:pStyle w:val="Heading1"/>
        <w:tabs>
          <w:tab w:val="left" w:pos="360"/>
        </w:tabs>
        <w:spacing w:before="360"/>
        <w:rPr>
          <w:rStyle w:val="BodyText2Char"/>
          <w:rFonts w:ascii="Calibri Light" w:hAnsi="Calibri Light"/>
          <w:color w:val="000000" w:themeColor="text1"/>
          <w:sz w:val="22"/>
        </w:rPr>
      </w:pPr>
      <w:r>
        <w:rPr>
          <w:rStyle w:val="BodyText2Char"/>
          <w:rFonts w:ascii="Calibri Light" w:hAnsi="Calibri Light"/>
          <w:color w:val="000000" w:themeColor="text1"/>
          <w:sz w:val="22"/>
        </w:rPr>
        <w:t>8</w:t>
      </w:r>
      <w:r w:rsidRPr="00CD7974">
        <w:rPr>
          <w:rStyle w:val="BodyText2Char"/>
          <w:rFonts w:ascii="Calibri Light" w:hAnsi="Calibri Light"/>
          <w:color w:val="000000" w:themeColor="text1"/>
          <w:sz w:val="22"/>
        </w:rPr>
        <w:t>.</w:t>
      </w:r>
      <w:r w:rsidRPr="00CD7974">
        <w:rPr>
          <w:rStyle w:val="BodyText2Char"/>
          <w:rFonts w:ascii="Calibri Light" w:hAnsi="Calibri Light"/>
          <w:color w:val="000000" w:themeColor="text1"/>
          <w:sz w:val="22"/>
        </w:rPr>
        <w:tab/>
        <w:t>Additional Regulations</w:t>
      </w:r>
    </w:p>
    <w:p w14:paraId="31B8A307" w14:textId="56C0B618" w:rsidR="009B0111" w:rsidRPr="00035F36" w:rsidRDefault="00CD7974" w:rsidP="00F04BAD">
      <w:pPr>
        <w:pStyle w:val="BodyText"/>
        <w:ind w:left="360"/>
        <w:rPr>
          <w:rFonts w:asciiTheme="minorHAnsi" w:hAnsiTheme="minorHAnsi" w:cs="Calibri Light"/>
          <w:szCs w:val="22"/>
        </w:rPr>
      </w:pPr>
      <w:r w:rsidRPr="00035F36">
        <w:rPr>
          <w:rFonts w:asciiTheme="minorHAnsi" w:hAnsiTheme="minorHAnsi"/>
        </w:rPr>
        <w:t xml:space="preserve">In addition to the above noted regulations, HHW Programs are also regulated by </w:t>
      </w:r>
      <w:hyperlink r:id="rId26" w:history="1">
        <w:r w:rsidRPr="00035F36">
          <w:rPr>
            <w:rStyle w:val="Hyperlink"/>
            <w:rFonts w:asciiTheme="minorHAnsi" w:hAnsiTheme="minorHAnsi"/>
            <w:color w:val="0000FF"/>
            <w:szCs w:val="21"/>
          </w:rPr>
          <w:t>OSHA</w:t>
        </w:r>
      </w:hyperlink>
      <w:r w:rsidRPr="00035F36">
        <w:rPr>
          <w:rFonts w:asciiTheme="minorHAnsi" w:hAnsiTheme="minorHAnsi"/>
        </w:rPr>
        <w:t>,</w:t>
      </w:r>
      <w:r w:rsidR="00035F36" w:rsidRPr="00035F36">
        <w:rPr>
          <w:rFonts w:asciiTheme="minorHAnsi" w:hAnsiTheme="minorHAnsi"/>
        </w:rPr>
        <w:t xml:space="preserve"> </w:t>
      </w:r>
      <w:hyperlink r:id="rId27" w:history="1">
        <w:r w:rsidR="00035F36" w:rsidRPr="00035F36">
          <w:rPr>
            <w:rStyle w:val="Hyperlink"/>
            <w:rFonts w:asciiTheme="minorHAnsi" w:hAnsiTheme="minorHAnsi"/>
            <w:color w:val="0000FF"/>
            <w:szCs w:val="21"/>
          </w:rPr>
          <w:t>EPA</w:t>
        </w:r>
      </w:hyperlink>
      <w:r w:rsidR="00035F36" w:rsidRPr="00035F36">
        <w:rPr>
          <w:rStyle w:val="Hyperlink"/>
          <w:rFonts w:asciiTheme="minorHAnsi" w:hAnsiTheme="minorHAnsi"/>
          <w:szCs w:val="21"/>
          <w:u w:val="none"/>
        </w:rPr>
        <w:t xml:space="preserve"> </w:t>
      </w:r>
      <w:r w:rsidR="00035F36" w:rsidRPr="00035F36">
        <w:rPr>
          <w:rFonts w:asciiTheme="minorHAnsi" w:hAnsiTheme="minorHAnsi" w:cs="Arial"/>
          <w:szCs w:val="21"/>
          <w:lang w:val="en"/>
        </w:rPr>
        <w:t xml:space="preserve">and </w:t>
      </w:r>
      <w:hyperlink r:id="rId28" w:history="1">
        <w:r w:rsidR="00035F36" w:rsidRPr="00035F36">
          <w:rPr>
            <w:rStyle w:val="Hyperlink"/>
            <w:rFonts w:asciiTheme="minorHAnsi" w:hAnsiTheme="minorHAnsi" w:cs="Arial"/>
            <w:color w:val="0000FF"/>
            <w:szCs w:val="21"/>
            <w:lang w:val="en"/>
          </w:rPr>
          <w:t>DOT</w:t>
        </w:r>
      </w:hyperlink>
      <w:r w:rsidR="00035F36">
        <w:rPr>
          <w:rStyle w:val="Hyperlink"/>
          <w:rFonts w:asciiTheme="minorHAnsi" w:hAnsiTheme="minorHAnsi" w:cs="Arial"/>
          <w:szCs w:val="21"/>
          <w:lang w:val="en"/>
        </w:rPr>
        <w:t>.</w:t>
      </w:r>
    </w:p>
    <w:sectPr w:rsidR="009B0111" w:rsidRPr="00035F36" w:rsidSect="0020612C">
      <w:footerReference w:type="default" r:id="rId29"/>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86EC" w14:textId="77777777" w:rsidR="00910D41" w:rsidRDefault="00910D41">
      <w:r>
        <w:separator/>
      </w:r>
    </w:p>
  </w:endnote>
  <w:endnote w:type="continuationSeparator" w:id="0">
    <w:p w14:paraId="4C4DE9E3" w14:textId="77777777" w:rsidR="00910D41" w:rsidRDefault="009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D948" w14:textId="72BFA5EC"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 1.</w:t>
    </w:r>
    <w:r w:rsidR="00202CD1">
      <w:rPr>
        <w:rFonts w:ascii="Calibri Light" w:hAnsi="Calibri Light" w:cs="Calibri Light"/>
        <w:iCs/>
        <w:sz w:val="18"/>
        <w:szCs w:val="18"/>
      </w:rPr>
      <w:t>0</w:t>
    </w:r>
    <w:r>
      <w:rPr>
        <w:rFonts w:ascii="Calibri Light" w:hAnsi="Calibri Light" w:cs="Calibri Light"/>
        <w:iCs/>
        <w:sz w:val="18"/>
        <w:szCs w:val="18"/>
      </w:rPr>
      <w:t xml:space="preserve">2 Resource Conservation and Recovery Act </w:t>
    </w:r>
    <w:r>
      <w:rPr>
        <w:rFonts w:ascii="Calibri Light" w:hAnsi="Calibri Light" w:cs="Calibri Light"/>
        <w:iCs/>
        <w:sz w:val="18"/>
        <w:szCs w:val="18"/>
      </w:rPr>
      <w:tab/>
      <w:t xml:space="preserve">June </w:t>
    </w:r>
    <w:r w:rsidR="00E317CE">
      <w:rPr>
        <w:rFonts w:ascii="Calibri Light" w:hAnsi="Calibri Light" w:cs="Calibri Light"/>
        <w:iCs/>
        <w:sz w:val="18"/>
        <w:szCs w:val="18"/>
      </w:rPr>
      <w:t>2024 |</w:t>
    </w:r>
    <w:r w:rsidR="00E317CE" w:rsidRPr="00A14CB7">
      <w:rPr>
        <w:rFonts w:ascii="Calibri Light" w:hAnsi="Calibri Light" w:cs="Calibri Light"/>
        <w:sz w:val="18"/>
        <w:szCs w:val="18"/>
      </w:rPr>
      <w:t xml:space="preserve"> w</w:t>
    </w:r>
    <w:r w:rsidRPr="00AE0ABD">
      <w:rPr>
        <w:rFonts w:ascii="Calibri Light" w:hAnsi="Calibri Light" w:cs="Calibri Light"/>
        <w:sz w:val="18"/>
        <w:szCs w:val="18"/>
      </w:rPr>
      <w:t>-hhwsop1-02</w:t>
    </w:r>
  </w:p>
  <w:p w14:paraId="0E9856B0" w14:textId="77777777" w:rsidR="00AE0ABD" w:rsidRPr="00AE0ABD" w:rsidRDefault="00AE0ABD" w:rsidP="00AE0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E6BD" w14:textId="77777777" w:rsidR="00910D41" w:rsidRDefault="00910D41">
      <w:r>
        <w:separator/>
      </w:r>
    </w:p>
  </w:footnote>
  <w:footnote w:type="continuationSeparator" w:id="0">
    <w:p w14:paraId="29B9F6A5" w14:textId="77777777" w:rsidR="00910D41" w:rsidRDefault="00910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4"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5"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4"/>
  </w:num>
  <w:num w:numId="2" w16cid:durableId="821434402">
    <w:abstractNumId w:val="0"/>
  </w:num>
  <w:num w:numId="3" w16cid:durableId="270094992">
    <w:abstractNumId w:val="3"/>
  </w:num>
  <w:num w:numId="4" w16cid:durableId="560406482">
    <w:abstractNumId w:val="6"/>
  </w:num>
  <w:num w:numId="5" w16cid:durableId="2134013816">
    <w:abstractNumId w:val="1"/>
  </w:num>
  <w:num w:numId="6" w16cid:durableId="195241025">
    <w:abstractNumId w:val="2"/>
  </w:num>
  <w:num w:numId="7" w16cid:durableId="114761922">
    <w:abstractNumId w:val="7"/>
  </w:num>
  <w:num w:numId="8" w16cid:durableId="1096168710">
    <w:abstractNumId w:val="5"/>
  </w:num>
  <w:num w:numId="9" w16cid:durableId="162446194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89"/>
    <w:rsid w:val="00035F36"/>
    <w:rsid w:val="00055E16"/>
    <w:rsid w:val="000D2548"/>
    <w:rsid w:val="000D376D"/>
    <w:rsid w:val="000D46B4"/>
    <w:rsid w:val="000E41B9"/>
    <w:rsid w:val="000E68D6"/>
    <w:rsid w:val="00125903"/>
    <w:rsid w:val="00143B38"/>
    <w:rsid w:val="00146D50"/>
    <w:rsid w:val="001B78A9"/>
    <w:rsid w:val="001E3818"/>
    <w:rsid w:val="00202CD1"/>
    <w:rsid w:val="0020612C"/>
    <w:rsid w:val="00227DEB"/>
    <w:rsid w:val="002622CE"/>
    <w:rsid w:val="00274769"/>
    <w:rsid w:val="002C188D"/>
    <w:rsid w:val="002F6599"/>
    <w:rsid w:val="003A4E13"/>
    <w:rsid w:val="003E4145"/>
    <w:rsid w:val="003E6E96"/>
    <w:rsid w:val="0046738B"/>
    <w:rsid w:val="004762CC"/>
    <w:rsid w:val="004C2A6A"/>
    <w:rsid w:val="004D7D89"/>
    <w:rsid w:val="004F688C"/>
    <w:rsid w:val="00501E00"/>
    <w:rsid w:val="00521A58"/>
    <w:rsid w:val="005331A9"/>
    <w:rsid w:val="00550470"/>
    <w:rsid w:val="00556EEB"/>
    <w:rsid w:val="005B4B24"/>
    <w:rsid w:val="00615161"/>
    <w:rsid w:val="006240BF"/>
    <w:rsid w:val="006B792D"/>
    <w:rsid w:val="006C2B3A"/>
    <w:rsid w:val="006C4998"/>
    <w:rsid w:val="006E238C"/>
    <w:rsid w:val="006F16C9"/>
    <w:rsid w:val="007623E1"/>
    <w:rsid w:val="00800D6B"/>
    <w:rsid w:val="00820377"/>
    <w:rsid w:val="008215EA"/>
    <w:rsid w:val="00844AAF"/>
    <w:rsid w:val="00857226"/>
    <w:rsid w:val="00871406"/>
    <w:rsid w:val="008A5F69"/>
    <w:rsid w:val="008B0FB5"/>
    <w:rsid w:val="008B1923"/>
    <w:rsid w:val="008D269C"/>
    <w:rsid w:val="008D7C42"/>
    <w:rsid w:val="008F69FD"/>
    <w:rsid w:val="00910D41"/>
    <w:rsid w:val="00932291"/>
    <w:rsid w:val="009439BF"/>
    <w:rsid w:val="00991AA3"/>
    <w:rsid w:val="009B0111"/>
    <w:rsid w:val="009E352A"/>
    <w:rsid w:val="00A14CB7"/>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47171"/>
    <w:rsid w:val="00B57E1E"/>
    <w:rsid w:val="00B96231"/>
    <w:rsid w:val="00BC331B"/>
    <w:rsid w:val="00BF062A"/>
    <w:rsid w:val="00BF5805"/>
    <w:rsid w:val="00C13911"/>
    <w:rsid w:val="00C52A57"/>
    <w:rsid w:val="00C54FB8"/>
    <w:rsid w:val="00C9583F"/>
    <w:rsid w:val="00CD739A"/>
    <w:rsid w:val="00CD7974"/>
    <w:rsid w:val="00D009B8"/>
    <w:rsid w:val="00D0661A"/>
    <w:rsid w:val="00D239A2"/>
    <w:rsid w:val="00D46598"/>
    <w:rsid w:val="00D47D25"/>
    <w:rsid w:val="00DC3EA8"/>
    <w:rsid w:val="00DD108D"/>
    <w:rsid w:val="00E0738D"/>
    <w:rsid w:val="00E317CE"/>
    <w:rsid w:val="00E4006A"/>
    <w:rsid w:val="00E808AF"/>
    <w:rsid w:val="00E965BE"/>
    <w:rsid w:val="00EA4675"/>
    <w:rsid w:val="00F04BAD"/>
    <w:rsid w:val="00F42D1F"/>
    <w:rsid w:val="00F5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F9F2B"/>
  <w15:chartTrackingRefBased/>
  <w15:docId w15:val="{A8D4ED0F-D82D-4FFB-A741-A29785DC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40/chapter-I/subchapter-I/part-262" TargetMode="External"/><Relationship Id="rId18" Type="http://schemas.openxmlformats.org/officeDocument/2006/relationships/hyperlink" Target="https://www.revisor.mn.gov/rules/?id=7045.0131" TargetMode="External"/><Relationship Id="rId26" Type="http://schemas.openxmlformats.org/officeDocument/2006/relationships/hyperlink" Target="https://www.osha.gov/SLTC/hazardouswaste/standards.html" TargetMode="External"/><Relationship Id="rId3" Type="http://schemas.openxmlformats.org/officeDocument/2006/relationships/styles" Target="styles.xml"/><Relationship Id="rId21" Type="http://schemas.openxmlformats.org/officeDocument/2006/relationships/hyperlink" Target="https://www.revisor.mn.gov/rules/?id=7045.0320" TargetMode="External"/><Relationship Id="rId7" Type="http://schemas.openxmlformats.org/officeDocument/2006/relationships/endnotes" Target="endnotes.xml"/><Relationship Id="rId12" Type="http://schemas.openxmlformats.org/officeDocument/2006/relationships/hyperlink" Target="https://www.pca.state.mn.us/news-and-stories/safely-dispose-of-household-hazardous-waste" TargetMode="External"/><Relationship Id="rId17" Type="http://schemas.openxmlformats.org/officeDocument/2006/relationships/hyperlink" Target="https://www.revisor.mn.gov/rules/?id=7045.0131&amp;format=pdf" TargetMode="External"/><Relationship Id="rId25" Type="http://schemas.openxmlformats.org/officeDocument/2006/relationships/hyperlink" Target="https://www.pca.state.mn.us/business-with-us/household-hazardous-waste-collection" TargetMode="External"/><Relationship Id="rId2" Type="http://schemas.openxmlformats.org/officeDocument/2006/relationships/numbering" Target="numbering.xml"/><Relationship Id="rId16" Type="http://schemas.openxmlformats.org/officeDocument/2006/relationships/hyperlink" Target="https://www.revisor.mn.gov/statutes/?id=473.811" TargetMode="External"/><Relationship Id="rId20" Type="http://schemas.openxmlformats.org/officeDocument/2006/relationships/hyperlink" Target="https://www.pca.state.mn.us/sites/default/files/w-hw1-07.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id=115a.46" TargetMode="External"/><Relationship Id="rId24" Type="http://schemas.openxmlformats.org/officeDocument/2006/relationships/hyperlink" Target="https://www.revisor.mn.gov/statutes/?id=471.59" TargetMode="External"/><Relationship Id="rId5" Type="http://schemas.openxmlformats.org/officeDocument/2006/relationships/webSettings" Target="webSettings.xml"/><Relationship Id="rId15" Type="http://schemas.openxmlformats.org/officeDocument/2006/relationships/hyperlink" Target="https://www.revisor.mn.gov/statutes/?id=115a.96" TargetMode="External"/><Relationship Id="rId23" Type="http://schemas.openxmlformats.org/officeDocument/2006/relationships/hyperlink" Target="https://www.revisor.mn.gov/statutes/?id=400.161&amp;year=2016" TargetMode="External"/><Relationship Id="rId28" Type="http://schemas.openxmlformats.org/officeDocument/2006/relationships/hyperlink" Target="https://www.ecfr.gov/current/title-49/subtitle-B/chapter-I/subchapter-C/part-171" TargetMode="External"/><Relationship Id="rId10" Type="http://schemas.openxmlformats.org/officeDocument/2006/relationships/hyperlink" Target="http://leachate.co.uk/main/what-is-leachate/" TargetMode="External"/><Relationship Id="rId19" Type="http://schemas.openxmlformats.org/officeDocument/2006/relationships/hyperlink" Target="https://www.pca.state.mn.us/sites/default/files/w-hw1-0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pa.gov/rcra" TargetMode="External"/><Relationship Id="rId14" Type="http://schemas.openxmlformats.org/officeDocument/2006/relationships/hyperlink" Target="https://www.revisor.mn.gov/rules/?id=7045.0310" TargetMode="External"/><Relationship Id="rId22" Type="http://schemas.openxmlformats.org/officeDocument/2006/relationships/hyperlink" Target="https://www.revisor.mn.gov/rules/7045/" TargetMode="External"/><Relationship Id="rId27" Type="http://schemas.openxmlformats.org/officeDocument/2006/relationships/hyperlink" Target="https://www.epa.gov/hw/household-hazardous-waste-hhw"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HHW SOP 1.2 Resource Conservation and Recovery Act (RCRA) HW</vt:lpstr>
    </vt:vector>
  </TitlesOfParts>
  <Manager>M.Blackstock</Manager>
  <Company>MPCA</Company>
  <LinksUpToDate>false</LinksUpToDate>
  <CharactersWithSpaces>5430</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1.2 Resource Conservation and Recovery Act (RCRA) HW</dc:title>
  <dc:subject>SOPs are meant to be guidance for county-run Household Hazardous Waste (HHW) County Programs. We will post on the HHW Agency website for statewide county use. We are contractualy obligated to provide these for the county HHW statewide Programs.</dc:subject>
  <dc:creator>Minnesota Pollution Control Agency-Teresa Gilbertson (M.Blackstock-PST)</dc:creator>
  <cp:keywords>Minnesota Pollution Control Agency, MPCA, Household Hazardous Waste, HHW, Standard Operating Procedures, SOP, Waste, w-hhwsop1-02</cp:keywords>
  <dc:description/>
  <cp:lastModifiedBy>Meyer, Glenn (MPCA)</cp:lastModifiedBy>
  <cp:revision>2</cp:revision>
  <dcterms:created xsi:type="dcterms:W3CDTF">2024-06-26T15:23:00Z</dcterms:created>
  <dcterms:modified xsi:type="dcterms:W3CDTF">2024-06-26T15:23:00Z</dcterms:modified>
  <cp:category>Waste, Household Hazardous Waste, Standard Operation Procedures - Training</cp:category>
</cp:coreProperties>
</file>