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37" w:type="dxa"/>
        <w:tblInd w:w="-9" w:type="dxa"/>
        <w:tblLayout w:type="fixed"/>
        <w:tblLook w:val="0000" w:firstRow="0" w:lastRow="0" w:firstColumn="0" w:lastColumn="0" w:noHBand="0" w:noVBand="0"/>
      </w:tblPr>
      <w:tblGrid>
        <w:gridCol w:w="9"/>
        <w:gridCol w:w="3978"/>
        <w:gridCol w:w="2070"/>
        <w:gridCol w:w="3240"/>
        <w:gridCol w:w="1440"/>
      </w:tblGrid>
      <w:tr w:rsidR="0084050F" w:rsidRPr="008F20DC" w14:paraId="7EEC6BDE" w14:textId="77777777" w:rsidTr="004A1442">
        <w:trPr>
          <w:gridBefore w:val="1"/>
          <w:wBefore w:w="9" w:type="dxa"/>
          <w:cantSplit/>
          <w:trHeight w:val="1206"/>
        </w:trPr>
        <w:tc>
          <w:tcPr>
            <w:tcW w:w="3978" w:type="dxa"/>
          </w:tcPr>
          <w:p w14:paraId="4BC83F14" w14:textId="77777777" w:rsidR="0084050F" w:rsidRPr="008F20DC" w:rsidRDefault="0084050F" w:rsidP="004A1442">
            <w:pPr>
              <w:spacing w:before="120"/>
              <w:rPr>
                <w:rFonts w:ascii="Calibri" w:hAnsi="Calibri" w:cs="Arial"/>
                <w:sz w:val="22"/>
                <w:szCs w:val="22"/>
              </w:rPr>
            </w:pPr>
            <w:r w:rsidRPr="00EF7F37">
              <w:rPr>
                <w:noProof/>
              </w:rPr>
              <w:drawing>
                <wp:inline distT="0" distB="0" distL="0" distR="0" wp14:anchorId="153B000A" wp14:editId="137D3FED">
                  <wp:extent cx="2390775" cy="682766"/>
                  <wp:effectExtent l="0" t="0" r="0" b="0"/>
                  <wp:docPr id="1"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innesota Pollution Control Agency (MPCA), 520 Lafayette Road North, St. Paul, MN 55155-4194" title="Image of MPCA logo with St. Paul office addres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2625"/>
                          </a:xfrm>
                          <a:prstGeom prst="rect">
                            <a:avLst/>
                          </a:prstGeom>
                          <a:noFill/>
                          <a:ln>
                            <a:noFill/>
                          </a:ln>
                        </pic:spPr>
                      </pic:pic>
                    </a:graphicData>
                  </a:graphic>
                </wp:inline>
              </w:drawing>
            </w:r>
          </w:p>
        </w:tc>
        <w:tc>
          <w:tcPr>
            <w:tcW w:w="6750" w:type="dxa"/>
            <w:gridSpan w:val="3"/>
          </w:tcPr>
          <w:p w14:paraId="5C28BA88" w14:textId="77777777" w:rsidR="0084050F" w:rsidRPr="008F20DC" w:rsidRDefault="0084050F" w:rsidP="004A1442">
            <w:pPr>
              <w:pStyle w:val="Form-Title1"/>
              <w:spacing w:before="0"/>
              <w:rPr>
                <w:szCs w:val="40"/>
              </w:rPr>
            </w:pPr>
            <w:r w:rsidRPr="008F20DC">
              <w:rPr>
                <w:szCs w:val="40"/>
              </w:rPr>
              <w:t>Grant Agreement</w:t>
            </w:r>
          </w:p>
          <w:p w14:paraId="2188CC33" w14:textId="77777777" w:rsidR="0084050F" w:rsidRPr="00D07E48" w:rsidRDefault="0084050F" w:rsidP="004A1442">
            <w:pPr>
              <w:pStyle w:val="Form-Title3"/>
              <w:spacing w:before="120"/>
              <w:rPr>
                <w:rFonts w:ascii="Arial" w:hAnsi="Arial" w:cs="Arial"/>
                <w:b/>
              </w:rPr>
            </w:pPr>
            <w:r w:rsidRPr="00D07E48">
              <w:rPr>
                <w:rFonts w:ascii="Arial" w:hAnsi="Arial" w:cs="Arial"/>
                <w:b/>
              </w:rPr>
              <w:t>State of Minnesota</w:t>
            </w:r>
          </w:p>
          <w:p w14:paraId="180E7D5F" w14:textId="77777777" w:rsidR="0084050F" w:rsidRPr="008F20DC" w:rsidRDefault="0084050F" w:rsidP="004A1442">
            <w:pPr>
              <w:pStyle w:val="Form-Title4"/>
              <w:rPr>
                <w:rFonts w:ascii="Calibri" w:hAnsi="Calibri"/>
                <w:sz w:val="22"/>
                <w:szCs w:val="22"/>
              </w:rPr>
            </w:pPr>
            <w:r w:rsidRPr="008F20DC">
              <w:t>Doc Type:  Contract/Grant Reference</w:t>
            </w:r>
          </w:p>
        </w:tc>
      </w:tr>
      <w:tr w:rsidR="0084050F" w:rsidRPr="008F20DC" w14:paraId="69FC5361" w14:textId="77777777" w:rsidTr="004A1442">
        <w:tblPrEx>
          <w:tblCellMar>
            <w:left w:w="43" w:type="dxa"/>
            <w:right w:w="43" w:type="dxa"/>
          </w:tblCellMar>
          <w:tblLook w:val="04A0" w:firstRow="1" w:lastRow="0" w:firstColumn="1" w:lastColumn="0" w:noHBand="0" w:noVBand="1"/>
        </w:tblPrEx>
        <w:tc>
          <w:tcPr>
            <w:tcW w:w="9297" w:type="dxa"/>
            <w:gridSpan w:val="4"/>
            <w:shd w:val="clear" w:color="auto" w:fill="auto"/>
            <w:vAlign w:val="bottom"/>
          </w:tcPr>
          <w:p w14:paraId="4EF312FE" w14:textId="77777777" w:rsidR="0084050F" w:rsidRPr="008F20DC" w:rsidRDefault="0084050F" w:rsidP="004A1442">
            <w:pPr>
              <w:pStyle w:val="Form-Bodytext1"/>
              <w:jc w:val="right"/>
            </w:pPr>
            <w:r w:rsidRPr="008F20DC">
              <w:t>SWIFT Contract number:</w:t>
            </w:r>
          </w:p>
        </w:tc>
        <w:tc>
          <w:tcPr>
            <w:tcW w:w="1440" w:type="dxa"/>
            <w:shd w:val="clear" w:color="auto" w:fill="auto"/>
          </w:tcPr>
          <w:p w14:paraId="5E2C711D" w14:textId="77777777" w:rsidR="0084050F" w:rsidRPr="008F20DC" w:rsidRDefault="0084050F" w:rsidP="004A1442">
            <w:pPr>
              <w:pStyle w:val="Form-Bodytext1"/>
            </w:pPr>
          </w:p>
        </w:tc>
      </w:tr>
      <w:tr w:rsidR="0084050F" w:rsidRPr="008F20DC" w14:paraId="2A844BAC" w14:textId="77777777" w:rsidTr="004A1442">
        <w:tblPrEx>
          <w:tblCellMar>
            <w:left w:w="43" w:type="dxa"/>
            <w:right w:w="43" w:type="dxa"/>
          </w:tblCellMar>
          <w:tblLook w:val="04A0" w:firstRow="1" w:lastRow="0" w:firstColumn="1" w:lastColumn="0" w:noHBand="0" w:noVBand="1"/>
        </w:tblPrEx>
        <w:tc>
          <w:tcPr>
            <w:tcW w:w="6057" w:type="dxa"/>
            <w:gridSpan w:val="3"/>
            <w:shd w:val="clear" w:color="auto" w:fill="auto"/>
            <w:vAlign w:val="bottom"/>
          </w:tcPr>
          <w:p w14:paraId="10179505" w14:textId="77777777" w:rsidR="0084050F" w:rsidRPr="008F20DC" w:rsidRDefault="0084050F" w:rsidP="004A1442">
            <w:pPr>
              <w:pStyle w:val="Form-Bodytext1"/>
            </w:pPr>
          </w:p>
        </w:tc>
        <w:tc>
          <w:tcPr>
            <w:tcW w:w="3240" w:type="dxa"/>
            <w:shd w:val="clear" w:color="auto" w:fill="auto"/>
            <w:vAlign w:val="bottom"/>
          </w:tcPr>
          <w:p w14:paraId="73BCA00E" w14:textId="77777777" w:rsidR="0084050F" w:rsidRPr="008F20DC" w:rsidRDefault="0084050F" w:rsidP="004A1442">
            <w:pPr>
              <w:pStyle w:val="Form-Bodytext1"/>
              <w:jc w:val="right"/>
            </w:pPr>
            <w:r w:rsidRPr="008F20DC">
              <w:t>AI:</w:t>
            </w:r>
          </w:p>
        </w:tc>
        <w:tc>
          <w:tcPr>
            <w:tcW w:w="1440" w:type="dxa"/>
            <w:shd w:val="clear" w:color="auto" w:fill="auto"/>
          </w:tcPr>
          <w:p w14:paraId="26551E9E" w14:textId="77777777" w:rsidR="0084050F" w:rsidRPr="008F20DC" w:rsidRDefault="0084050F" w:rsidP="004A1442">
            <w:pPr>
              <w:pStyle w:val="Form-Bodytext1"/>
            </w:pPr>
          </w:p>
        </w:tc>
      </w:tr>
      <w:tr w:rsidR="0084050F" w:rsidRPr="008F20DC" w14:paraId="030C2331" w14:textId="77777777" w:rsidTr="004A1442">
        <w:tblPrEx>
          <w:tblCellMar>
            <w:left w:w="43" w:type="dxa"/>
            <w:right w:w="43" w:type="dxa"/>
          </w:tblCellMar>
          <w:tblLook w:val="04A0" w:firstRow="1" w:lastRow="0" w:firstColumn="1" w:lastColumn="0" w:noHBand="0" w:noVBand="1"/>
        </w:tblPrEx>
        <w:tc>
          <w:tcPr>
            <w:tcW w:w="6057" w:type="dxa"/>
            <w:gridSpan w:val="3"/>
            <w:shd w:val="clear" w:color="auto" w:fill="auto"/>
            <w:vAlign w:val="bottom"/>
          </w:tcPr>
          <w:p w14:paraId="3057C8C5" w14:textId="77777777" w:rsidR="0084050F" w:rsidRPr="008F20DC" w:rsidRDefault="0084050F" w:rsidP="004A1442">
            <w:pPr>
              <w:pStyle w:val="Form-Bodytext1"/>
            </w:pPr>
          </w:p>
        </w:tc>
        <w:tc>
          <w:tcPr>
            <w:tcW w:w="3240" w:type="dxa"/>
            <w:shd w:val="clear" w:color="auto" w:fill="auto"/>
            <w:vAlign w:val="bottom"/>
          </w:tcPr>
          <w:p w14:paraId="32BE0BC1" w14:textId="77777777" w:rsidR="0084050F" w:rsidRPr="008F20DC" w:rsidRDefault="0084050F" w:rsidP="004A1442">
            <w:pPr>
              <w:pStyle w:val="Form-Bodytext1"/>
              <w:jc w:val="right"/>
            </w:pPr>
            <w:r w:rsidRPr="008F20DC">
              <w:t>Activity ID:</w:t>
            </w:r>
          </w:p>
        </w:tc>
        <w:tc>
          <w:tcPr>
            <w:tcW w:w="1440" w:type="dxa"/>
            <w:shd w:val="clear" w:color="auto" w:fill="auto"/>
          </w:tcPr>
          <w:p w14:paraId="3FD5AAF4" w14:textId="77777777" w:rsidR="0084050F" w:rsidRPr="008F20DC" w:rsidRDefault="0084050F" w:rsidP="004A1442">
            <w:pPr>
              <w:pStyle w:val="Form-Bodytext1"/>
            </w:pPr>
          </w:p>
        </w:tc>
      </w:tr>
    </w:tbl>
    <w:p w14:paraId="03AECC65" w14:textId="5023D424" w:rsidR="0084050F" w:rsidRPr="008F20DC" w:rsidRDefault="0084050F" w:rsidP="0084050F">
      <w:pPr>
        <w:spacing w:before="360" w:after="120"/>
        <w:rPr>
          <w:rFonts w:ascii="Arial" w:hAnsi="Arial" w:cs="Arial"/>
        </w:rPr>
      </w:pPr>
      <w:r w:rsidRPr="008F20DC">
        <w:rPr>
          <w:rFonts w:ascii="Arial" w:hAnsi="Arial" w:cs="Arial"/>
        </w:rPr>
        <w:t xml:space="preserve">This grant agreement is between the state of Minnesota, acting through its Commissioner of the </w:t>
      </w:r>
      <w:r w:rsidRPr="008F20DC">
        <w:rPr>
          <w:rFonts w:ascii="Arial" w:hAnsi="Arial" w:cs="Arial"/>
          <w:b/>
        </w:rPr>
        <w:t>Minnesota Pollution Control Agency</w:t>
      </w:r>
      <w:r w:rsidRPr="008F20DC">
        <w:rPr>
          <w:rFonts w:ascii="Arial" w:hAnsi="Arial" w:cs="Arial"/>
        </w:rPr>
        <w:t>, 520 Lafayette Road North, St. Paul, Minnesota 5515</w:t>
      </w:r>
      <w:r>
        <w:rPr>
          <w:rFonts w:ascii="Arial" w:hAnsi="Arial" w:cs="Arial"/>
        </w:rPr>
        <w:t>5-4194 (“MPCA” or “State”), and</w:t>
      </w:r>
      <w:r w:rsidRPr="008F20DC">
        <w:rPr>
          <w:rFonts w:ascii="Arial" w:hAnsi="Arial" w:cs="Arial"/>
        </w:rPr>
        <w:t xml:space="preserve"> </w:t>
      </w:r>
      <w:r w:rsidRPr="008F20DC">
        <w:rPr>
          <w:rFonts w:ascii="Arial" w:hAnsi="Arial" w:cs="Arial"/>
          <w:i/>
        </w:rPr>
        <w:t xml:space="preserve">name and address </w:t>
      </w:r>
      <w:r>
        <w:rPr>
          <w:rFonts w:ascii="Arial" w:hAnsi="Arial" w:cs="Arial"/>
        </w:rPr>
        <w:t xml:space="preserve">("Grantee"). (Note: All Minnesota Statute references can be found on the Minnesota Office of the Revisor of Statutes website at </w:t>
      </w:r>
      <w:hyperlink r:id="rId8" w:history="1">
        <w:r w:rsidRPr="00B574D0">
          <w:rPr>
            <w:rStyle w:val="Hyperlink"/>
            <w:rFonts w:ascii="Arial" w:hAnsi="Arial" w:cs="Arial"/>
          </w:rPr>
          <w:t>https://www.revisor.mn.gov/</w:t>
        </w:r>
      </w:hyperlink>
      <w:r>
        <w:rPr>
          <w:rFonts w:ascii="Arial" w:hAnsi="Arial" w:cs="Arial"/>
        </w:rPr>
        <w:t>.)</w:t>
      </w:r>
    </w:p>
    <w:p w14:paraId="63E3FE02" w14:textId="77777777" w:rsidR="0084050F" w:rsidRPr="008F20DC" w:rsidRDefault="0084050F" w:rsidP="001E0493">
      <w:pPr>
        <w:pStyle w:val="Heading2"/>
        <w:rPr>
          <w:rStyle w:val="Form-Heading1Char"/>
          <w:rFonts w:cs="Times New Roman"/>
          <w:i/>
        </w:rPr>
      </w:pPr>
      <w:r w:rsidRPr="008F20DC">
        <w:rPr>
          <w:rStyle w:val="Form-Heading1Char"/>
          <w:rFonts w:cs="Times New Roman"/>
        </w:rPr>
        <w:t>Recitals</w:t>
      </w:r>
    </w:p>
    <w:p w14:paraId="3C946FDB" w14:textId="77777777" w:rsidR="0084050F" w:rsidRPr="008F20DC" w:rsidRDefault="0084050F" w:rsidP="0084050F">
      <w:pPr>
        <w:widowControl w:val="0"/>
        <w:numPr>
          <w:ilvl w:val="0"/>
          <w:numId w:val="1"/>
        </w:numPr>
        <w:tabs>
          <w:tab w:val="left" w:pos="-360"/>
          <w:tab w:val="left" w:pos="0"/>
          <w:tab w:val="left" w:pos="360"/>
          <w:tab w:val="left" w:pos="90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autoSpaceDE w:val="0"/>
        <w:autoSpaceDN w:val="0"/>
        <w:adjustRightInd w:val="0"/>
        <w:spacing w:before="120"/>
        <w:outlineLvl w:val="0"/>
        <w:rPr>
          <w:rFonts w:ascii="Arial" w:hAnsi="Arial" w:cs="Arial"/>
        </w:rPr>
      </w:pPr>
      <w:r w:rsidRPr="008F20DC">
        <w:rPr>
          <w:rFonts w:ascii="Arial" w:hAnsi="Arial" w:cs="Arial"/>
        </w:rPr>
        <w:t>Under Minn. Stat. § 116.03, subd. 2, the State is empowered to enter into this grant.</w:t>
      </w:r>
    </w:p>
    <w:p w14:paraId="2593E6A6" w14:textId="77777777" w:rsidR="0084050F" w:rsidRPr="008F20DC" w:rsidRDefault="0084050F" w:rsidP="0084050F">
      <w:pPr>
        <w:widowControl w:val="0"/>
        <w:numPr>
          <w:ilvl w:val="0"/>
          <w:numId w:val="1"/>
        </w:numPr>
        <w:tabs>
          <w:tab w:val="left" w:pos="-360"/>
          <w:tab w:val="left" w:pos="0"/>
          <w:tab w:val="left" w:pos="360"/>
          <w:tab w:val="left" w:pos="90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autoSpaceDE w:val="0"/>
        <w:autoSpaceDN w:val="0"/>
        <w:adjustRightInd w:val="0"/>
        <w:spacing w:before="120"/>
        <w:outlineLvl w:val="0"/>
        <w:rPr>
          <w:rFonts w:ascii="Arial" w:hAnsi="Arial" w:cs="Arial"/>
        </w:rPr>
      </w:pPr>
      <w:r w:rsidRPr="008F20DC">
        <w:rPr>
          <w:rFonts w:ascii="Arial" w:hAnsi="Arial" w:cs="Arial"/>
        </w:rPr>
        <w:t xml:space="preserve">The State is in need of the </w:t>
      </w:r>
      <w:r w:rsidRPr="008F20DC">
        <w:rPr>
          <w:rFonts w:ascii="Arial" w:hAnsi="Arial" w:cs="Arial"/>
          <w:i/>
        </w:rPr>
        <w:t>project name</w:t>
      </w:r>
    </w:p>
    <w:p w14:paraId="360429B9" w14:textId="77777777" w:rsidR="0084050F" w:rsidRPr="008F20DC" w:rsidRDefault="0084050F" w:rsidP="0084050F">
      <w:pPr>
        <w:widowControl w:val="0"/>
        <w:numPr>
          <w:ilvl w:val="0"/>
          <w:numId w:val="1"/>
        </w:numPr>
        <w:tabs>
          <w:tab w:val="left" w:pos="360"/>
        </w:tabs>
        <w:autoSpaceDE w:val="0"/>
        <w:autoSpaceDN w:val="0"/>
        <w:adjustRightInd w:val="0"/>
        <w:spacing w:before="120"/>
        <w:ind w:left="360" w:right="-18" w:hanging="360"/>
        <w:outlineLvl w:val="0"/>
        <w:rPr>
          <w:rFonts w:ascii="Arial" w:hAnsi="Arial" w:cs="Arial"/>
        </w:rPr>
      </w:pPr>
      <w:r w:rsidRPr="008F20DC">
        <w:rPr>
          <w:rFonts w:ascii="Arial" w:hAnsi="Arial" w:cs="Arial"/>
        </w:rPr>
        <w:t xml:space="preserve">Grantee will comply with required grants management policies and procedures set forth through </w:t>
      </w:r>
      <w:hyperlink r:id="rId9" w:history="1">
        <w:r>
          <w:rPr>
            <w:rFonts w:ascii="Arial" w:hAnsi="Arial" w:cs="Arial"/>
            <w:color w:val="0000FF"/>
            <w:u w:val="single"/>
          </w:rPr>
          <w:t>Minn. Stat. § </w:t>
        </w:r>
        <w:r w:rsidRPr="008F20DC">
          <w:rPr>
            <w:rFonts w:ascii="Arial" w:hAnsi="Arial" w:cs="Arial"/>
            <w:color w:val="0000FF"/>
            <w:u w:val="single"/>
          </w:rPr>
          <w:t>16B.97</w:t>
        </w:r>
      </w:hyperlink>
      <w:r w:rsidRPr="008F20DC">
        <w:rPr>
          <w:rFonts w:ascii="Arial" w:hAnsi="Arial" w:cs="Arial"/>
        </w:rPr>
        <w:t>, subd. 4(a)(1).</w:t>
      </w:r>
    </w:p>
    <w:p w14:paraId="58C1799E" w14:textId="77777777" w:rsidR="0084050F" w:rsidRPr="008F20DC" w:rsidRDefault="0084050F" w:rsidP="0084050F">
      <w:pPr>
        <w:widowControl w:val="0"/>
        <w:numPr>
          <w:ilvl w:val="0"/>
          <w:numId w:val="1"/>
        </w:numPr>
        <w:tabs>
          <w:tab w:val="left" w:pos="360"/>
        </w:tabs>
        <w:autoSpaceDE w:val="0"/>
        <w:autoSpaceDN w:val="0"/>
        <w:adjustRightInd w:val="0"/>
        <w:spacing w:before="120"/>
        <w:ind w:left="360" w:hanging="360"/>
        <w:outlineLvl w:val="0"/>
        <w:rPr>
          <w:rFonts w:ascii="Arial" w:hAnsi="Arial" w:cs="Arial"/>
          <w:color w:val="000000"/>
        </w:rPr>
      </w:pPr>
      <w:r w:rsidRPr="008F20DC">
        <w:rPr>
          <w:rFonts w:ascii="Arial" w:hAnsi="Arial" w:cs="Arial"/>
        </w:rPr>
        <w:t xml:space="preserve">The </w:t>
      </w:r>
      <w:r w:rsidRPr="008F20DC">
        <w:rPr>
          <w:rFonts w:ascii="Arial" w:hAnsi="Arial" w:cs="Arial"/>
          <w:color w:val="000000"/>
        </w:rPr>
        <w:t xml:space="preserve">Grantee represents that it is duly qualified and agrees to perform all services described in this grant agreement to the satisfaction of the State. Pursuant to </w:t>
      </w:r>
      <w:hyperlink r:id="rId10" w:history="1">
        <w:r w:rsidRPr="008F20DC">
          <w:rPr>
            <w:rFonts w:ascii="Arial" w:hAnsi="Arial" w:cs="Arial"/>
            <w:color w:val="0000FF"/>
            <w:u w:val="single"/>
          </w:rPr>
          <w:t>Minn. Stat. § 16B.98</w:t>
        </w:r>
      </w:hyperlink>
      <w:r w:rsidRPr="008F20DC">
        <w:rPr>
          <w:rFonts w:ascii="Arial" w:hAnsi="Arial" w:cs="Arial"/>
        </w:rPr>
        <w:t>,</w:t>
      </w:r>
      <w:r w:rsidRPr="008F20DC">
        <w:rPr>
          <w:rFonts w:ascii="Arial" w:hAnsi="Arial" w:cs="Arial"/>
          <w:color w:val="000000"/>
        </w:rPr>
        <w:t xml:space="preserve"> subd. 1, the Grantee agrees to minimize administrative costs as a condition of this grant.</w:t>
      </w:r>
    </w:p>
    <w:p w14:paraId="11639352" w14:textId="77777777" w:rsidR="0084050F" w:rsidRPr="001E0493" w:rsidRDefault="0084050F" w:rsidP="001E0493">
      <w:pPr>
        <w:pStyle w:val="Heading2"/>
        <w:rPr>
          <w:rStyle w:val="Form-Heading1Char"/>
          <w:rFonts w:ascii="Arial" w:hAnsi="Arial"/>
          <w:b/>
          <w:bCs/>
          <w:i/>
          <w:iCs/>
          <w:sz w:val="24"/>
        </w:rPr>
      </w:pPr>
      <w:r w:rsidRPr="001E0493">
        <w:rPr>
          <w:rStyle w:val="Form-Heading1Char"/>
          <w:rFonts w:ascii="Arial" w:hAnsi="Arial"/>
          <w:sz w:val="24"/>
        </w:rPr>
        <w:t>Grant Agreement</w:t>
      </w:r>
    </w:p>
    <w:p w14:paraId="34175A00" w14:textId="77777777" w:rsidR="0084050F" w:rsidRPr="008F20DC" w:rsidRDefault="0084050F" w:rsidP="0084050F">
      <w:pPr>
        <w:widowControl w:val="0"/>
        <w:numPr>
          <w:ilvl w:val="0"/>
          <w:numId w:val="6"/>
        </w:numPr>
        <w:autoSpaceDE w:val="0"/>
        <w:autoSpaceDN w:val="0"/>
        <w:adjustRightInd w:val="0"/>
        <w:outlineLvl w:val="0"/>
        <w:rPr>
          <w:rFonts w:ascii="Arial" w:hAnsi="Arial" w:cs="Arial"/>
          <w:b/>
          <w:bCs/>
          <w:color w:val="000000"/>
        </w:rPr>
      </w:pPr>
      <w:r w:rsidRPr="008F20DC">
        <w:rPr>
          <w:rFonts w:ascii="Arial" w:hAnsi="Arial" w:cs="Arial"/>
          <w:b/>
          <w:bCs/>
          <w:color w:val="000000"/>
        </w:rPr>
        <w:t>Term of Grant Agreement</w:t>
      </w:r>
    </w:p>
    <w:p w14:paraId="7EE48817" w14:textId="2B7197A9" w:rsidR="0084050F" w:rsidRPr="008F20DC" w:rsidRDefault="0084050F" w:rsidP="0084050F">
      <w:pPr>
        <w:widowControl w:val="0"/>
        <w:numPr>
          <w:ilvl w:val="1"/>
          <w:numId w:val="5"/>
        </w:numPr>
        <w:tabs>
          <w:tab w:val="left" w:pos="900"/>
        </w:tabs>
        <w:autoSpaceDE w:val="0"/>
        <w:autoSpaceDN w:val="0"/>
        <w:adjustRightInd w:val="0"/>
        <w:spacing w:before="120"/>
        <w:ind w:left="900" w:hanging="540"/>
        <w:rPr>
          <w:rFonts w:ascii="Arial" w:hAnsi="Arial" w:cs="Arial"/>
          <w:b/>
          <w:bCs/>
          <w:i/>
          <w:iCs/>
          <w:color w:val="000000"/>
        </w:rPr>
      </w:pPr>
      <w:r w:rsidRPr="008F20DC">
        <w:rPr>
          <w:rFonts w:ascii="Arial" w:hAnsi="Arial" w:cs="Arial"/>
          <w:b/>
          <w:bCs/>
          <w:i/>
          <w:iCs/>
        </w:rPr>
        <w:t>Effective date:</w:t>
      </w:r>
      <w:r>
        <w:rPr>
          <w:rFonts w:ascii="Arial" w:hAnsi="Arial" w:cs="Arial"/>
          <w:b/>
          <w:bCs/>
          <w:i/>
          <w:iCs/>
        </w:rPr>
        <w:t xml:space="preserve"> </w:t>
      </w:r>
      <w:r w:rsidRPr="008F20DC">
        <w:rPr>
          <w:rFonts w:ascii="Arial" w:hAnsi="Arial" w:cs="Arial"/>
          <w:b/>
          <w:bCs/>
          <w:i/>
          <w:iCs/>
        </w:rPr>
        <w:t>start dat</w:t>
      </w:r>
      <w:r w:rsidR="0061752C">
        <w:rPr>
          <w:rFonts w:ascii="Arial" w:hAnsi="Arial" w:cs="Arial"/>
          <w:b/>
          <w:bCs/>
          <w:i/>
          <w:iCs/>
        </w:rPr>
        <w:t>e</w:t>
      </w:r>
      <w:r w:rsidRPr="008F20DC">
        <w:rPr>
          <w:rFonts w:ascii="Arial" w:hAnsi="Arial" w:cs="Arial"/>
        </w:rPr>
        <w:t>,</w:t>
      </w:r>
      <w:r w:rsidRPr="008F20DC">
        <w:rPr>
          <w:rFonts w:ascii="Arial" w:hAnsi="Arial" w:cs="Arial"/>
          <w:color w:val="000000"/>
        </w:rPr>
        <w:t xml:space="preserve"> </w:t>
      </w:r>
      <w:r w:rsidRPr="00B241D5">
        <w:rPr>
          <w:rFonts w:ascii="Arial" w:hAnsi="Arial" w:cs="Arial"/>
        </w:rPr>
        <w:t xml:space="preserve">Per </w:t>
      </w:r>
      <w:hyperlink r:id="rId11" w:history="1">
        <w:r w:rsidRPr="00B241D5">
          <w:rPr>
            <w:rStyle w:val="Hyperlink"/>
            <w:rFonts w:ascii="Arial" w:hAnsi="Arial" w:cs="Arial"/>
          </w:rPr>
          <w:t>Minn. Stat.§16B.98</w:t>
        </w:r>
      </w:hyperlink>
      <w:r w:rsidRPr="00B241D5">
        <w:rPr>
          <w:rFonts w:ascii="Arial" w:hAnsi="Arial" w:cs="Arial"/>
        </w:rPr>
        <w:t>, subd. 5</w:t>
      </w:r>
      <w:r w:rsidRPr="00B241D5">
        <w:rPr>
          <w:rFonts w:ascii="Arial" w:hAnsi="Arial" w:cs="Arial"/>
          <w:i/>
          <w:iCs/>
        </w:rPr>
        <w:t>,</w:t>
      </w:r>
      <w:r w:rsidRPr="00B241D5">
        <w:rPr>
          <w:rFonts w:ascii="Arial" w:hAnsi="Arial" w:cs="Arial"/>
        </w:rPr>
        <w:t xml:space="preserve"> the Grantee must not begin work until this grant contract is fully executed and the State's Authorized Representative has notified the Grantee that work may commence. </w:t>
      </w:r>
      <w:r w:rsidRPr="008F20DC">
        <w:rPr>
          <w:rFonts w:ascii="Arial" w:hAnsi="Arial" w:cs="Arial"/>
          <w:color w:val="000000"/>
        </w:rPr>
        <w:t xml:space="preserve">Per </w:t>
      </w:r>
      <w:hyperlink r:id="rId12" w:history="1">
        <w:r w:rsidRPr="008F20DC">
          <w:rPr>
            <w:rFonts w:ascii="Arial" w:hAnsi="Arial" w:cs="Arial"/>
            <w:color w:val="0000FF"/>
            <w:u w:val="single"/>
          </w:rPr>
          <w:t>Minn. Stat. § 16B.98</w:t>
        </w:r>
      </w:hyperlink>
      <w:r w:rsidRPr="008F20DC">
        <w:rPr>
          <w:rFonts w:ascii="Arial" w:hAnsi="Arial" w:cs="Arial"/>
        </w:rPr>
        <w:t xml:space="preserve">, </w:t>
      </w:r>
      <w:r w:rsidRPr="008F20DC">
        <w:rPr>
          <w:rFonts w:ascii="Arial" w:hAnsi="Arial" w:cs="Arial"/>
          <w:color w:val="000000"/>
        </w:rPr>
        <w:t>subd. 7, no payments will be made to the Grantee until this grant agreement is fully executed.</w:t>
      </w:r>
      <w:r w:rsidRPr="008F20DC">
        <w:rPr>
          <w:rFonts w:ascii="Arial" w:hAnsi="Arial" w:cs="Arial"/>
        </w:rPr>
        <w:t xml:space="preserve"> </w:t>
      </w:r>
    </w:p>
    <w:p w14:paraId="2045CF3F" w14:textId="77777777" w:rsidR="0084050F" w:rsidRPr="008F20DC" w:rsidRDefault="0084050F" w:rsidP="0084050F">
      <w:pPr>
        <w:pStyle w:val="ListParagraph"/>
        <w:widowControl w:val="0"/>
        <w:numPr>
          <w:ilvl w:val="1"/>
          <w:numId w:val="5"/>
        </w:numPr>
        <w:tabs>
          <w:tab w:val="left" w:pos="-360"/>
          <w:tab w:val="left" w:pos="900"/>
        </w:tabs>
        <w:autoSpaceDE w:val="0"/>
        <w:autoSpaceDN w:val="0"/>
        <w:adjustRightInd w:val="0"/>
        <w:spacing w:before="120"/>
        <w:ind w:left="900" w:hanging="540"/>
        <w:rPr>
          <w:rFonts w:ascii="Arial" w:hAnsi="Arial" w:cs="Arial"/>
          <w:color w:val="000000"/>
        </w:rPr>
      </w:pPr>
      <w:r w:rsidRPr="008F20DC">
        <w:rPr>
          <w:rFonts w:ascii="Arial" w:hAnsi="Arial" w:cs="Arial"/>
          <w:b/>
          <w:bCs/>
          <w:i/>
          <w:iCs/>
        </w:rPr>
        <w:t>Expiration date: end date</w:t>
      </w:r>
      <w:r w:rsidRPr="008F20DC">
        <w:rPr>
          <w:rFonts w:ascii="Arial" w:hAnsi="Arial" w:cs="Arial"/>
        </w:rPr>
        <w:t xml:space="preserve">, </w:t>
      </w:r>
      <w:r w:rsidRPr="008F20DC">
        <w:rPr>
          <w:rFonts w:ascii="Arial" w:hAnsi="Arial" w:cs="Arial"/>
          <w:color w:val="000000"/>
        </w:rPr>
        <w:t>or until all obligations have been satisfactorily fulfilled, whichever occurs first.</w:t>
      </w:r>
    </w:p>
    <w:p w14:paraId="312C6527" w14:textId="77777777" w:rsidR="0084050F" w:rsidRPr="008F20DC" w:rsidRDefault="0084050F" w:rsidP="0084050F">
      <w:pPr>
        <w:widowControl w:val="0"/>
        <w:numPr>
          <w:ilvl w:val="1"/>
          <w:numId w:val="5"/>
        </w:numPr>
        <w:tabs>
          <w:tab w:val="left" w:pos="-360"/>
          <w:tab w:val="left" w:pos="900"/>
        </w:tabs>
        <w:autoSpaceDE w:val="0"/>
        <w:autoSpaceDN w:val="0"/>
        <w:adjustRightInd w:val="0"/>
        <w:spacing w:before="120"/>
        <w:ind w:left="900" w:hanging="540"/>
        <w:rPr>
          <w:rFonts w:ascii="Arial" w:hAnsi="Arial" w:cs="Arial"/>
          <w:color w:val="000000"/>
        </w:rPr>
      </w:pPr>
      <w:r w:rsidRPr="008F20DC">
        <w:rPr>
          <w:rFonts w:ascii="Arial" w:hAnsi="Arial" w:cs="Arial"/>
          <w:b/>
          <w:bCs/>
          <w:i/>
          <w:iCs/>
          <w:color w:val="000000"/>
        </w:rPr>
        <w:t>Survival of terms</w:t>
      </w:r>
      <w:r w:rsidRPr="008F20DC">
        <w:rPr>
          <w:rFonts w:ascii="Arial" w:hAnsi="Arial" w:cs="Arial"/>
          <w:b/>
          <w:bCs/>
          <w:color w:val="000000"/>
        </w:rPr>
        <w:t>.</w:t>
      </w:r>
      <w:r w:rsidRPr="008F20DC">
        <w:rPr>
          <w:rFonts w:ascii="Arial" w:hAnsi="Arial" w:cs="Arial"/>
          <w:color w:val="000000"/>
        </w:rPr>
        <w:t xml:space="preserve"> The following clauses survive the expiration or cancellation of this grant agreement: Indemnification; State Audits; Government Data Practices and Intellectual Property; Publicity and Endorsement; Governing Law, Jurisdiction, and Venue; and Data Disclosure.</w:t>
      </w:r>
    </w:p>
    <w:p w14:paraId="0F3144AA" w14:textId="77777777" w:rsidR="0084050F" w:rsidRPr="008F20DC" w:rsidRDefault="0084050F" w:rsidP="0084050F">
      <w:pPr>
        <w:widowControl w:val="0"/>
        <w:numPr>
          <w:ilvl w:val="0"/>
          <w:numId w:val="6"/>
        </w:numPr>
        <w:autoSpaceDE w:val="0"/>
        <w:autoSpaceDN w:val="0"/>
        <w:adjustRightInd w:val="0"/>
        <w:spacing w:before="120"/>
        <w:outlineLvl w:val="0"/>
        <w:rPr>
          <w:rFonts w:ascii="Arial" w:hAnsi="Arial" w:cs="Arial"/>
          <w:color w:val="000000"/>
        </w:rPr>
      </w:pPr>
      <w:r w:rsidRPr="008F20DC">
        <w:rPr>
          <w:rFonts w:ascii="Arial" w:hAnsi="Arial" w:cs="Arial"/>
          <w:b/>
          <w:bCs/>
          <w:color w:val="000000"/>
        </w:rPr>
        <w:t xml:space="preserve">Grantee’s </w:t>
      </w:r>
      <w:r>
        <w:rPr>
          <w:rFonts w:ascii="Arial" w:hAnsi="Arial" w:cs="Arial"/>
          <w:b/>
          <w:bCs/>
          <w:color w:val="000000"/>
        </w:rPr>
        <w:t>d</w:t>
      </w:r>
      <w:r w:rsidRPr="008F20DC">
        <w:rPr>
          <w:rFonts w:ascii="Arial" w:hAnsi="Arial" w:cs="Arial"/>
          <w:b/>
          <w:bCs/>
          <w:color w:val="000000"/>
        </w:rPr>
        <w:t>uties</w:t>
      </w:r>
    </w:p>
    <w:p w14:paraId="7023E9C6" w14:textId="77777777" w:rsidR="0084050F" w:rsidRPr="008F20DC" w:rsidRDefault="0084050F" w:rsidP="0084050F">
      <w:pPr>
        <w:tabs>
          <w:tab w:val="left" w:pos="-360"/>
          <w:tab w:val="left" w:pos="0"/>
          <w:tab w:val="left" w:pos="360"/>
          <w:tab w:val="left" w:pos="720"/>
          <w:tab w:val="left" w:pos="90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ind w:left="360"/>
        <w:rPr>
          <w:rFonts w:ascii="Arial" w:hAnsi="Arial" w:cs="Arial"/>
        </w:rPr>
      </w:pPr>
      <w:r w:rsidRPr="008F20DC">
        <w:rPr>
          <w:rFonts w:ascii="Arial" w:hAnsi="Arial" w:cs="Arial"/>
          <w:color w:val="000000"/>
        </w:rPr>
        <w:t xml:space="preserve">The Grantee, who is not a state employee, will </w:t>
      </w:r>
      <w:r w:rsidRPr="008F20DC">
        <w:rPr>
          <w:rFonts w:ascii="Arial" w:hAnsi="Arial" w:cs="Arial"/>
        </w:rPr>
        <w:t xml:space="preserve">perform the duties specified in </w:t>
      </w:r>
      <w:r w:rsidRPr="008F20DC">
        <w:rPr>
          <w:rFonts w:ascii="Arial" w:hAnsi="Arial" w:cs="Arial"/>
          <w:b/>
          <w:color w:val="000000"/>
        </w:rPr>
        <w:t>Attachment A</w:t>
      </w:r>
      <w:r w:rsidRPr="008F20DC">
        <w:rPr>
          <w:rFonts w:ascii="Arial" w:hAnsi="Arial" w:cs="Arial"/>
        </w:rPr>
        <w:t xml:space="preserve">, which is attached and incorporated into this grant agreement. </w:t>
      </w:r>
    </w:p>
    <w:p w14:paraId="2CCC3DBA" w14:textId="77777777" w:rsidR="0084050F" w:rsidRPr="008F20DC" w:rsidRDefault="0084050F" w:rsidP="0084050F">
      <w:pPr>
        <w:widowControl w:val="0"/>
        <w:numPr>
          <w:ilvl w:val="0"/>
          <w:numId w:val="6"/>
        </w:numPr>
        <w:autoSpaceDE w:val="0"/>
        <w:autoSpaceDN w:val="0"/>
        <w:adjustRightInd w:val="0"/>
        <w:spacing w:before="120"/>
        <w:outlineLvl w:val="0"/>
        <w:rPr>
          <w:rFonts w:ascii="Arial" w:hAnsi="Arial" w:cs="Arial"/>
          <w:b/>
          <w:bCs/>
          <w:color w:val="000000"/>
        </w:rPr>
      </w:pPr>
      <w:r w:rsidRPr="008F20DC">
        <w:rPr>
          <w:rFonts w:ascii="Arial" w:hAnsi="Arial" w:cs="Arial"/>
          <w:b/>
          <w:bCs/>
          <w:color w:val="000000"/>
        </w:rPr>
        <w:t>Time</w:t>
      </w:r>
    </w:p>
    <w:p w14:paraId="3268D885" w14:textId="77777777" w:rsidR="0084050F" w:rsidRPr="008F20DC" w:rsidRDefault="0084050F" w:rsidP="0084050F">
      <w:pPr>
        <w:tabs>
          <w:tab w:val="left" w:pos="-360"/>
          <w:tab w:val="left" w:pos="0"/>
          <w:tab w:val="left" w:pos="360"/>
          <w:tab w:val="left" w:pos="720"/>
          <w:tab w:val="left" w:pos="900"/>
          <w:tab w:val="left" w:pos="1440"/>
          <w:tab w:val="left" w:pos="1696"/>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ind w:left="360"/>
        <w:rPr>
          <w:rFonts w:ascii="Arial" w:hAnsi="Arial" w:cs="Arial"/>
          <w:color w:val="000000"/>
        </w:rPr>
      </w:pPr>
      <w:r w:rsidRPr="008F20DC">
        <w:rPr>
          <w:rFonts w:ascii="Arial" w:hAnsi="Arial" w:cs="Arial"/>
          <w:color w:val="000000"/>
        </w:rPr>
        <w:t>The Grantee must comply with all the time requirements described in this grant agreement. In the performance of this grant agreement, time is of the essence.</w:t>
      </w:r>
    </w:p>
    <w:p w14:paraId="7B4738E2" w14:textId="1F3C95C6" w:rsidR="0084050F" w:rsidRPr="008F20DC" w:rsidRDefault="005C1444" w:rsidP="0084050F">
      <w:pPr>
        <w:widowControl w:val="0"/>
        <w:numPr>
          <w:ilvl w:val="0"/>
          <w:numId w:val="6"/>
        </w:numPr>
        <w:autoSpaceDE w:val="0"/>
        <w:autoSpaceDN w:val="0"/>
        <w:adjustRightInd w:val="0"/>
        <w:spacing w:before="120"/>
        <w:outlineLvl w:val="0"/>
        <w:rPr>
          <w:rFonts w:ascii="Arial" w:hAnsi="Arial" w:cs="Arial"/>
          <w:color w:val="000000"/>
        </w:rPr>
      </w:pPr>
      <w:r>
        <w:rPr>
          <w:rFonts w:ascii="Arial" w:hAnsi="Arial" w:cs="Arial"/>
          <w:b/>
          <w:bCs/>
          <w:color w:val="000000"/>
        </w:rPr>
        <w:t>Distribution</w:t>
      </w:r>
    </w:p>
    <w:p w14:paraId="534CCAA9" w14:textId="3C9E6361" w:rsidR="0051793D" w:rsidRPr="005C1444" w:rsidRDefault="0084050F" w:rsidP="003B2A5F">
      <w:pPr>
        <w:widowControl w:val="0"/>
        <w:tabs>
          <w:tab w:val="left" w:pos="-360"/>
        </w:tabs>
        <w:autoSpaceDE w:val="0"/>
        <w:autoSpaceDN w:val="0"/>
        <w:adjustRightInd w:val="0"/>
        <w:ind w:left="360"/>
        <w:rPr>
          <w:rStyle w:val="Hyperlink"/>
          <w:rFonts w:ascii="Arial" w:hAnsi="Arial" w:cs="Arial"/>
          <w:color w:val="000000"/>
          <w:u w:val="none"/>
        </w:rPr>
      </w:pPr>
      <w:r w:rsidRPr="008F20DC">
        <w:rPr>
          <w:rFonts w:ascii="Arial" w:hAnsi="Arial" w:cs="Arial"/>
          <w:color w:val="000000"/>
        </w:rPr>
        <w:t xml:space="preserve">The State will </w:t>
      </w:r>
      <w:r w:rsidR="005C1444">
        <w:rPr>
          <w:rFonts w:ascii="Arial" w:hAnsi="Arial" w:cs="Arial"/>
          <w:color w:val="000000"/>
        </w:rPr>
        <w:t xml:space="preserve">provide x gallons of </w:t>
      </w:r>
      <w:r w:rsidR="001E0493" w:rsidRPr="001E0493">
        <w:rPr>
          <w:rFonts w:ascii="Arial" w:hAnsi="Arial" w:cs="Arial"/>
          <w:color w:val="000000"/>
        </w:rPr>
        <w:t xml:space="preserve">Perfluoroalkyl Substances (PFAS) </w:t>
      </w:r>
      <w:r w:rsidR="005C1444">
        <w:rPr>
          <w:rFonts w:ascii="Arial" w:hAnsi="Arial" w:cs="Arial"/>
          <w:color w:val="000000"/>
        </w:rPr>
        <w:t>concentrate upon execution of this agreement</w:t>
      </w:r>
      <w:r w:rsidR="00D85A31">
        <w:rPr>
          <w:rFonts w:ascii="Arial" w:hAnsi="Arial" w:cs="Arial"/>
          <w:color w:val="000000"/>
        </w:rPr>
        <w:t>.</w:t>
      </w:r>
    </w:p>
    <w:p w14:paraId="0439C54C" w14:textId="498A24A0" w:rsidR="00215911" w:rsidRPr="0018419C" w:rsidRDefault="00215911" w:rsidP="0018419C">
      <w:pPr>
        <w:pStyle w:val="ListParagraph"/>
        <w:numPr>
          <w:ilvl w:val="0"/>
          <w:numId w:val="6"/>
        </w:numPr>
        <w:tabs>
          <w:tab w:val="left" w:pos="900"/>
        </w:tabs>
        <w:spacing w:before="120"/>
        <w:rPr>
          <w:rFonts w:ascii="Arial" w:eastAsia="Calibri" w:hAnsi="Arial" w:cs="Arial"/>
          <w:b/>
          <w:bCs/>
          <w:color w:val="000000"/>
        </w:rPr>
      </w:pPr>
      <w:r w:rsidRPr="0018419C">
        <w:rPr>
          <w:rFonts w:ascii="Arial" w:eastAsia="Calibri" w:hAnsi="Arial" w:cs="Arial"/>
          <w:b/>
          <w:bCs/>
          <w:color w:val="000000"/>
        </w:rPr>
        <w:t>Reporting</w:t>
      </w:r>
    </w:p>
    <w:p w14:paraId="31AEF647" w14:textId="7CCEFC3D" w:rsidR="00215911" w:rsidRPr="00F93EFF" w:rsidRDefault="00D5662E" w:rsidP="00F93EFF">
      <w:pPr>
        <w:ind w:left="360"/>
        <w:rPr>
          <w:rFonts w:ascii="Arial" w:eastAsia="Calibri" w:hAnsi="Arial" w:cs="Arial"/>
          <w:color w:val="000000"/>
        </w:rPr>
      </w:pPr>
      <w:r w:rsidRPr="00F93EFF">
        <w:rPr>
          <w:rFonts w:ascii="Arial" w:eastAsia="Calibri" w:hAnsi="Arial" w:cs="Arial"/>
          <w:color w:val="000000"/>
        </w:rPr>
        <w:t xml:space="preserve">Final Report. </w:t>
      </w:r>
      <w:r w:rsidR="00F93EFF" w:rsidRPr="00F93EFF">
        <w:rPr>
          <w:rFonts w:ascii="Arial" w:hAnsi="Arial" w:cs="Arial"/>
        </w:rPr>
        <w:t xml:space="preserve">Within </w:t>
      </w:r>
      <w:r w:rsidR="00766A27">
        <w:rPr>
          <w:rFonts w:ascii="Arial" w:hAnsi="Arial" w:cs="Arial"/>
        </w:rPr>
        <w:t>eight</w:t>
      </w:r>
      <w:r w:rsidR="00F93EFF" w:rsidRPr="00F93EFF">
        <w:rPr>
          <w:rFonts w:ascii="Arial" w:hAnsi="Arial" w:cs="Arial"/>
        </w:rPr>
        <w:t xml:space="preserve"> weeks following receipt of final laboratory results, recipient </w:t>
      </w:r>
      <w:r w:rsidR="00BF0074">
        <w:rPr>
          <w:rFonts w:ascii="Arial" w:hAnsi="Arial" w:cs="Arial"/>
        </w:rPr>
        <w:t>will</w:t>
      </w:r>
      <w:r w:rsidR="00F93EFF" w:rsidRPr="00F93EFF">
        <w:rPr>
          <w:rFonts w:ascii="Arial" w:hAnsi="Arial" w:cs="Arial"/>
        </w:rPr>
        <w:t xml:space="preserve"> submit a Final Report of the destructive test to the MPCA. The Final Report shall </w:t>
      </w:r>
      <w:r w:rsidR="00766A27">
        <w:rPr>
          <w:rFonts w:ascii="Arial" w:hAnsi="Arial" w:cs="Arial"/>
        </w:rPr>
        <w:t>summarize</w:t>
      </w:r>
      <w:r w:rsidR="00F93EFF" w:rsidRPr="00F93EFF">
        <w:rPr>
          <w:rFonts w:ascii="Arial" w:hAnsi="Arial" w:cs="Arial"/>
        </w:rPr>
        <w:t xml:space="preserve"> the destructive test procedure, destruction efficiencies for all PFAS parameters, other analyses necessary to demonstrate destruction effectiveness or efficiency (e.g. water quality parameters) and potential reaction byproduct formation. If the destructive test is terminated prior to the scheduled completion, the Final Report shall also discuss the conclusions that led to the termination of the test and results achieved on all tasks completed</w:t>
      </w:r>
      <w:r w:rsidR="00215911" w:rsidRPr="00F93EFF">
        <w:rPr>
          <w:rFonts w:ascii="Arial" w:eastAsia="Calibri" w:hAnsi="Arial" w:cs="Arial"/>
          <w:color w:val="000000"/>
        </w:rPr>
        <w:t>.</w:t>
      </w:r>
    </w:p>
    <w:p w14:paraId="6E91D69A" w14:textId="645DDEE1"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lastRenderedPageBreak/>
        <w:t xml:space="preserve">Conditions of </w:t>
      </w:r>
      <w:r w:rsidR="005C1444">
        <w:rPr>
          <w:rFonts w:ascii="Arial" w:hAnsi="Arial" w:cs="Arial"/>
          <w:b/>
          <w:bCs/>
        </w:rPr>
        <w:t>distribution</w:t>
      </w:r>
    </w:p>
    <w:p w14:paraId="6BE2CA5A" w14:textId="1D8B929B" w:rsidR="0084050F" w:rsidRPr="008F20DC" w:rsidRDefault="0084050F" w:rsidP="003B2A5F">
      <w:pPr>
        <w:tabs>
          <w:tab w:val="left" w:pos="-360"/>
          <w:tab w:val="left" w:pos="0"/>
          <w:tab w:val="left" w:pos="360"/>
          <w:tab w:val="left" w:pos="1080"/>
          <w:tab w:val="left" w:pos="1260"/>
          <w:tab w:val="left" w:pos="1440"/>
          <w:tab w:val="left" w:pos="1800"/>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ind w:left="360"/>
        <w:rPr>
          <w:rFonts w:ascii="Arial" w:hAnsi="Arial" w:cs="Arial"/>
        </w:rPr>
      </w:pPr>
      <w:r w:rsidRPr="008F20DC">
        <w:rPr>
          <w:rFonts w:ascii="Arial" w:hAnsi="Arial" w:cs="Arial"/>
        </w:rPr>
        <w:t>All services provided by the Grantee under this grant agreement must be performed to the State’s satisfaction, as determined at the sole discretion of the State’s Authorized Representative</w:t>
      </w:r>
      <w:r w:rsidRPr="008F20DC">
        <w:rPr>
          <w:rFonts w:ascii="Arial" w:hAnsi="Arial" w:cs="Arial"/>
          <w:b/>
          <w:color w:val="FF0000"/>
        </w:rPr>
        <w:t xml:space="preserve"> </w:t>
      </w:r>
      <w:r w:rsidRPr="008F20DC">
        <w:rPr>
          <w:rFonts w:ascii="Arial" w:hAnsi="Arial" w:cs="Arial"/>
        </w:rPr>
        <w:t xml:space="preserve">and in accordance with all applicable federal, state, and local laws, ordinances, rules, and regulations. </w:t>
      </w:r>
    </w:p>
    <w:p w14:paraId="7679DB00"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t>Authorized Representative</w:t>
      </w:r>
    </w:p>
    <w:p w14:paraId="3BD37607" w14:textId="77777777" w:rsidR="0084050F" w:rsidRPr="008F20DC" w:rsidRDefault="0084050F" w:rsidP="003B2A5F">
      <w:pPr>
        <w:tabs>
          <w:tab w:val="left" w:pos="-360"/>
          <w:tab w:val="left" w:pos="0"/>
          <w:tab w:val="left" w:pos="360"/>
          <w:tab w:val="left" w:pos="1080"/>
          <w:tab w:val="left" w:pos="1260"/>
          <w:tab w:val="left" w:pos="1440"/>
          <w:tab w:val="left" w:pos="1800"/>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overflowPunct w:val="0"/>
        <w:ind w:left="360"/>
        <w:textAlignment w:val="baseline"/>
        <w:rPr>
          <w:rFonts w:ascii="Arial" w:hAnsi="Arial" w:cs="Arial"/>
          <w:color w:val="000000"/>
        </w:rPr>
      </w:pPr>
      <w:r w:rsidRPr="008F20DC">
        <w:rPr>
          <w:rFonts w:ascii="Arial" w:hAnsi="Arial" w:cs="Arial"/>
        </w:rPr>
        <w:t xml:space="preserve">The State's Authorized Representative is </w:t>
      </w:r>
      <w:r w:rsidRPr="008F20DC">
        <w:rPr>
          <w:rFonts w:ascii="Arial" w:hAnsi="Arial" w:cs="Arial"/>
          <w:i/>
        </w:rPr>
        <w:t xml:space="preserve">name, address, phone, email </w:t>
      </w:r>
      <w:r w:rsidRPr="008F20DC">
        <w:rPr>
          <w:rFonts w:ascii="Arial" w:hAnsi="Arial" w:cs="Arial"/>
        </w:rPr>
        <w:t xml:space="preserve">or his successor, and has the authority to monitor the Grantee’s performance and to accept the services provided under this </w:t>
      </w:r>
      <w:r w:rsidRPr="008F20DC">
        <w:rPr>
          <w:rFonts w:ascii="Arial" w:hAnsi="Arial" w:cs="Arial"/>
          <w:color w:val="000000"/>
        </w:rPr>
        <w:t>agreement.</w:t>
      </w:r>
    </w:p>
    <w:p w14:paraId="3A63BB17" w14:textId="77777777" w:rsidR="0084050F" w:rsidRPr="008F20DC" w:rsidRDefault="0084050F" w:rsidP="0084050F">
      <w:pPr>
        <w:tabs>
          <w:tab w:val="left" w:pos="-360"/>
          <w:tab w:val="left" w:pos="0"/>
          <w:tab w:val="left" w:pos="360"/>
          <w:tab w:val="left" w:pos="1080"/>
          <w:tab w:val="left" w:pos="1260"/>
          <w:tab w:val="left" w:pos="1440"/>
          <w:tab w:val="left" w:pos="1800"/>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overflowPunct w:val="0"/>
        <w:spacing w:before="120"/>
        <w:ind w:left="360"/>
        <w:textAlignment w:val="baseline"/>
        <w:rPr>
          <w:rFonts w:ascii="Arial" w:hAnsi="Arial" w:cs="Arial"/>
        </w:rPr>
      </w:pPr>
      <w:r w:rsidRPr="008F20DC">
        <w:rPr>
          <w:rFonts w:ascii="Arial" w:hAnsi="Arial" w:cs="Arial"/>
        </w:rPr>
        <w:t xml:space="preserve">The Grantee’s Authorized Representative is </w:t>
      </w:r>
      <w:r w:rsidRPr="008F20DC">
        <w:rPr>
          <w:rFonts w:ascii="Arial" w:hAnsi="Arial" w:cs="Arial"/>
          <w:i/>
        </w:rPr>
        <w:t>name, address, phone, email</w:t>
      </w:r>
      <w:r w:rsidRPr="008F20DC">
        <w:rPr>
          <w:rFonts w:ascii="Arial" w:hAnsi="Arial" w:cs="Arial"/>
          <w:color w:val="000000"/>
        </w:rPr>
        <w:t xml:space="preserve"> </w:t>
      </w:r>
      <w:r w:rsidRPr="008F20DC">
        <w:rPr>
          <w:rFonts w:ascii="Arial" w:hAnsi="Arial" w:cs="Arial"/>
        </w:rPr>
        <w:t>or their successor. If the Grantee’s Authorized Representative changes at any time during this grant agreement, the Grantee must immediately notify the State.</w:t>
      </w:r>
    </w:p>
    <w:p w14:paraId="1F0D4550"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b/>
          <w:bCs/>
          <w:i/>
          <w:iCs/>
        </w:rPr>
      </w:pPr>
      <w:r w:rsidRPr="008F20DC">
        <w:rPr>
          <w:rFonts w:ascii="Arial" w:hAnsi="Arial" w:cs="Arial"/>
          <w:b/>
          <w:bCs/>
        </w:rPr>
        <w:t xml:space="preserve">Assignment, Amendments, Change Orders, Waiver, and </w:t>
      </w:r>
      <w:r>
        <w:rPr>
          <w:rFonts w:ascii="Arial" w:hAnsi="Arial" w:cs="Arial"/>
          <w:b/>
          <w:bCs/>
        </w:rPr>
        <w:t>Grant Agreement c</w:t>
      </w:r>
      <w:r w:rsidRPr="008F20DC">
        <w:rPr>
          <w:rFonts w:ascii="Arial" w:hAnsi="Arial" w:cs="Arial"/>
          <w:b/>
          <w:bCs/>
        </w:rPr>
        <w:t>omplete</w:t>
      </w:r>
    </w:p>
    <w:p w14:paraId="5B28CD60" w14:textId="6EDAC236" w:rsidR="0084050F" w:rsidRPr="008F20DC" w:rsidRDefault="00B941A2" w:rsidP="0084050F">
      <w:pPr>
        <w:tabs>
          <w:tab w:val="left" w:pos="-360"/>
        </w:tabs>
        <w:spacing w:before="120"/>
        <w:ind w:left="907" w:hanging="540"/>
        <w:rPr>
          <w:rFonts w:ascii="Arial" w:hAnsi="Arial" w:cs="Arial"/>
          <w:b/>
          <w:bCs/>
          <w:i/>
          <w:iCs/>
        </w:rPr>
      </w:pPr>
      <w:r>
        <w:rPr>
          <w:rFonts w:ascii="Arial" w:hAnsi="Arial" w:cs="Arial"/>
          <w:bCs/>
          <w:iCs/>
        </w:rPr>
        <w:t>8</w:t>
      </w:r>
      <w:r w:rsidR="0084050F" w:rsidRPr="008F20DC">
        <w:rPr>
          <w:rFonts w:ascii="Arial" w:hAnsi="Arial" w:cs="Arial"/>
          <w:bCs/>
          <w:iCs/>
        </w:rPr>
        <w:t>.1</w:t>
      </w:r>
      <w:r w:rsidR="0084050F" w:rsidRPr="008F20DC">
        <w:rPr>
          <w:rFonts w:ascii="Arial" w:hAnsi="Arial" w:cs="Arial"/>
          <w:bCs/>
          <w:iCs/>
        </w:rPr>
        <w:tab/>
      </w:r>
      <w:r w:rsidR="0084050F" w:rsidRPr="008F20DC">
        <w:rPr>
          <w:rFonts w:ascii="Arial" w:hAnsi="Arial" w:cs="Arial"/>
          <w:b/>
          <w:bCs/>
          <w:i/>
          <w:iCs/>
        </w:rPr>
        <w:t xml:space="preserve">Assignment. </w:t>
      </w:r>
      <w:r w:rsidR="0084050F" w:rsidRPr="008F20DC">
        <w:rPr>
          <w:rFonts w:ascii="Arial" w:hAnsi="Arial" w:cs="Arial"/>
          <w:bCs/>
          <w:iCs/>
        </w:rPr>
        <w:t>The Grantee shall neither assign nor transfer any rights or obligations under this grant agreement without the prior written consent of the State, approved by the same parties who executed and approved this grant agreement, or their successors in office.</w:t>
      </w:r>
    </w:p>
    <w:p w14:paraId="475BC85F" w14:textId="59E8F1BB" w:rsidR="0084050F" w:rsidRPr="008F20DC" w:rsidRDefault="00B941A2" w:rsidP="0084050F">
      <w:pPr>
        <w:tabs>
          <w:tab w:val="left" w:pos="-360"/>
        </w:tabs>
        <w:spacing w:before="120"/>
        <w:ind w:left="907" w:hanging="540"/>
        <w:rPr>
          <w:rFonts w:ascii="Arial" w:hAnsi="Arial" w:cs="Arial"/>
          <w:bCs/>
          <w:i/>
          <w:iCs/>
        </w:rPr>
      </w:pPr>
      <w:r>
        <w:rPr>
          <w:rFonts w:ascii="Arial" w:hAnsi="Arial" w:cs="Arial"/>
          <w:bCs/>
          <w:iCs/>
        </w:rPr>
        <w:t>8</w:t>
      </w:r>
      <w:r w:rsidR="0084050F" w:rsidRPr="008F20DC">
        <w:rPr>
          <w:rFonts w:ascii="Arial" w:hAnsi="Arial" w:cs="Arial"/>
          <w:bCs/>
          <w:iCs/>
        </w:rPr>
        <w:t>.2</w:t>
      </w:r>
      <w:r w:rsidR="0084050F" w:rsidRPr="008F20DC">
        <w:rPr>
          <w:rFonts w:ascii="Arial" w:hAnsi="Arial" w:cs="Arial"/>
          <w:bCs/>
          <w:iCs/>
        </w:rPr>
        <w:tab/>
      </w:r>
      <w:r w:rsidR="0084050F" w:rsidRPr="008F20DC">
        <w:rPr>
          <w:rFonts w:ascii="Arial" w:hAnsi="Arial" w:cs="Arial"/>
          <w:b/>
          <w:bCs/>
          <w:i/>
          <w:iCs/>
        </w:rPr>
        <w:t xml:space="preserve">Amendments. </w:t>
      </w:r>
      <w:r w:rsidR="0084050F" w:rsidRPr="008F20DC">
        <w:rPr>
          <w:rFonts w:ascii="Arial" w:hAnsi="Arial" w:cs="Arial"/>
          <w:bCs/>
          <w:iCs/>
        </w:rPr>
        <w:t>Any amendments to this grant agreement must be in writing and will not be effective until it has been executed and approved by the same parties who executed and approved the original grant agreement, or their successors in office.</w:t>
      </w:r>
    </w:p>
    <w:p w14:paraId="2722BEF4" w14:textId="6C3A4ABA" w:rsidR="0084050F" w:rsidRPr="008F20DC" w:rsidRDefault="00B941A2" w:rsidP="0084050F">
      <w:pPr>
        <w:spacing w:before="120"/>
        <w:ind w:left="907" w:hanging="540"/>
        <w:rPr>
          <w:rFonts w:ascii="Arial" w:hAnsi="Arial" w:cs="Arial"/>
        </w:rPr>
      </w:pPr>
      <w:r>
        <w:rPr>
          <w:rFonts w:ascii="Arial" w:eastAsia="Calibri" w:hAnsi="Arial" w:cs="Arial"/>
        </w:rPr>
        <w:t>8</w:t>
      </w:r>
      <w:r w:rsidR="0084050F" w:rsidRPr="008F20DC">
        <w:rPr>
          <w:rFonts w:ascii="Arial" w:eastAsia="Calibri" w:hAnsi="Arial" w:cs="Arial"/>
        </w:rPr>
        <w:t>.3</w:t>
      </w:r>
      <w:r w:rsidR="0084050F" w:rsidRPr="008F20DC">
        <w:rPr>
          <w:rFonts w:ascii="Arial" w:eastAsia="Calibri" w:hAnsi="Arial" w:cs="Arial"/>
        </w:rPr>
        <w:tab/>
      </w:r>
      <w:r w:rsidR="0084050F" w:rsidRPr="008F20DC">
        <w:rPr>
          <w:rFonts w:ascii="Arial" w:eastAsia="Calibri" w:hAnsi="Arial" w:cs="Arial"/>
          <w:b/>
          <w:i/>
        </w:rPr>
        <w:t>Chang</w:t>
      </w:r>
      <w:r w:rsidR="0084050F">
        <w:rPr>
          <w:rFonts w:ascii="Arial" w:eastAsia="Calibri" w:hAnsi="Arial" w:cs="Arial"/>
          <w:b/>
          <w:i/>
        </w:rPr>
        <w:t>e O</w:t>
      </w:r>
      <w:r w:rsidR="0084050F" w:rsidRPr="008F20DC">
        <w:rPr>
          <w:rFonts w:ascii="Arial" w:eastAsia="Calibri" w:hAnsi="Arial" w:cs="Arial"/>
          <w:b/>
          <w:i/>
        </w:rPr>
        <w:t xml:space="preserve">rders. </w:t>
      </w:r>
      <w:r w:rsidR="0084050F" w:rsidRPr="008F20DC">
        <w:rPr>
          <w:rFonts w:ascii="Arial" w:hAnsi="Arial" w:cs="Arial"/>
        </w:rPr>
        <w:t>If the State's Project Manager or the Grantee’s Authorized Representative identifies a change needed in the workplan and/or budget, either party may initiate a Change Order using the Change Order Form provided by the MPCA. Change Orders may not delay or jeopardize the success of the Project, alter the overall scope of the Project, increase or decrease the overall amount of the</w:t>
      </w:r>
      <w:r w:rsidR="0084050F" w:rsidRPr="008F20DC">
        <w:rPr>
          <w:rFonts w:ascii="Arial" w:hAnsi="Arial" w:cs="Arial"/>
          <w:color w:val="1F497D"/>
        </w:rPr>
        <w:t xml:space="preserve"> </w:t>
      </w:r>
      <w:r w:rsidR="0084050F" w:rsidRPr="008F20DC">
        <w:rPr>
          <w:rFonts w:ascii="Arial" w:hAnsi="Arial" w:cs="Arial"/>
        </w:rPr>
        <w:t>Contract/Agreement, or cause an extension of the term of this Agreement. Major changes require an Amendment rather than a Change Order.</w:t>
      </w:r>
    </w:p>
    <w:p w14:paraId="7B045354" w14:textId="77777777" w:rsidR="0084050F" w:rsidRPr="008F20DC" w:rsidRDefault="0084050F" w:rsidP="0084050F">
      <w:pPr>
        <w:spacing w:before="120"/>
        <w:ind w:left="907"/>
        <w:rPr>
          <w:rFonts w:ascii="Arial" w:hAnsi="Arial" w:cs="Arial"/>
        </w:rPr>
      </w:pPr>
      <w:r w:rsidRPr="008F20DC">
        <w:rPr>
          <w:rFonts w:ascii="Arial" w:hAnsi="Arial" w:cs="Arial"/>
        </w:rPr>
        <w:t xml:space="preserve">The Change Order Form must be approved and signed by the State's Project Manager and the Grantee’s Authorized Representative </w:t>
      </w:r>
      <w:r w:rsidRPr="008F20DC">
        <w:rPr>
          <w:rFonts w:ascii="Arial" w:hAnsi="Arial" w:cs="Arial"/>
          <w:b/>
          <w:bCs/>
        </w:rPr>
        <w:t>in advance of doing the work</w:t>
      </w:r>
      <w:r>
        <w:rPr>
          <w:rFonts w:ascii="Arial" w:hAnsi="Arial" w:cs="Arial"/>
        </w:rPr>
        <w:t xml:space="preserve">. </w:t>
      </w:r>
      <w:r w:rsidRPr="008F20DC">
        <w:rPr>
          <w:rFonts w:ascii="Arial" w:hAnsi="Arial" w:cs="Arial"/>
        </w:rPr>
        <w:t>Documented changes will then become an integral and enforceable part of the Agreement</w:t>
      </w:r>
      <w:r>
        <w:rPr>
          <w:rFonts w:ascii="Arial" w:hAnsi="Arial" w:cs="Arial"/>
        </w:rPr>
        <w:t xml:space="preserve">. </w:t>
      </w:r>
      <w:r w:rsidRPr="008F20DC">
        <w:rPr>
          <w:rFonts w:ascii="Arial" w:hAnsi="Arial" w:cs="Arial"/>
        </w:rPr>
        <w:t>The MPCA has the sole discretion on the determination of whether a requested change is a Change Order or an Amendment</w:t>
      </w:r>
      <w:r>
        <w:rPr>
          <w:rFonts w:ascii="Arial" w:hAnsi="Arial" w:cs="Arial"/>
        </w:rPr>
        <w:t xml:space="preserve">. </w:t>
      </w:r>
      <w:r w:rsidRPr="008F20DC">
        <w:rPr>
          <w:rFonts w:ascii="Arial" w:hAnsi="Arial" w:cs="Arial"/>
        </w:rPr>
        <w:t>The state reserves the right to refuse any Change Order requests.</w:t>
      </w:r>
    </w:p>
    <w:p w14:paraId="6FFDC2A9" w14:textId="406A12C9" w:rsidR="0084050F" w:rsidRPr="008F20DC" w:rsidRDefault="00B941A2" w:rsidP="0084050F">
      <w:pPr>
        <w:tabs>
          <w:tab w:val="left" w:pos="-360"/>
        </w:tabs>
        <w:spacing w:before="120"/>
        <w:ind w:left="907" w:hanging="540"/>
        <w:rPr>
          <w:rFonts w:ascii="Arial" w:hAnsi="Arial" w:cs="Arial"/>
        </w:rPr>
      </w:pPr>
      <w:r>
        <w:rPr>
          <w:rFonts w:ascii="Arial" w:hAnsi="Arial" w:cs="Arial"/>
          <w:bCs/>
          <w:iCs/>
        </w:rPr>
        <w:t>8</w:t>
      </w:r>
      <w:r w:rsidR="0084050F" w:rsidRPr="008F20DC">
        <w:rPr>
          <w:rFonts w:ascii="Arial" w:hAnsi="Arial" w:cs="Arial"/>
          <w:bCs/>
          <w:iCs/>
        </w:rPr>
        <w:t>.4</w:t>
      </w:r>
      <w:r w:rsidR="0084050F" w:rsidRPr="008F20DC">
        <w:rPr>
          <w:rFonts w:ascii="Arial" w:hAnsi="Arial" w:cs="Arial"/>
          <w:b/>
          <w:bCs/>
          <w:i/>
          <w:iCs/>
        </w:rPr>
        <w:tab/>
        <w:t xml:space="preserve">Waiver. </w:t>
      </w:r>
      <w:r w:rsidR="0084050F" w:rsidRPr="008F20DC">
        <w:rPr>
          <w:rFonts w:ascii="Arial" w:hAnsi="Arial" w:cs="Arial"/>
        </w:rPr>
        <w:t>If the State fails to enforce any provision of this grant agreement, that failure does not waive the provision or the State’s right to enforce it.</w:t>
      </w:r>
    </w:p>
    <w:p w14:paraId="7521C50D" w14:textId="0770DAE8" w:rsidR="0084050F" w:rsidRPr="008F20DC" w:rsidRDefault="00B941A2" w:rsidP="0084050F">
      <w:pPr>
        <w:tabs>
          <w:tab w:val="left" w:pos="-360"/>
        </w:tabs>
        <w:spacing w:before="120"/>
        <w:ind w:left="900" w:hanging="540"/>
        <w:rPr>
          <w:rFonts w:ascii="Arial" w:hAnsi="Arial" w:cs="Arial"/>
        </w:rPr>
      </w:pPr>
      <w:r>
        <w:rPr>
          <w:rFonts w:ascii="Arial" w:hAnsi="Arial" w:cs="Arial"/>
        </w:rPr>
        <w:t>8</w:t>
      </w:r>
      <w:r w:rsidR="0084050F" w:rsidRPr="008F20DC">
        <w:rPr>
          <w:rFonts w:ascii="Arial" w:hAnsi="Arial" w:cs="Arial"/>
        </w:rPr>
        <w:t>.5</w:t>
      </w:r>
      <w:r w:rsidR="0084050F" w:rsidRPr="008F20DC">
        <w:rPr>
          <w:rFonts w:ascii="Arial" w:hAnsi="Arial" w:cs="Arial"/>
        </w:rPr>
        <w:tab/>
      </w:r>
      <w:r w:rsidR="0084050F">
        <w:rPr>
          <w:rFonts w:ascii="Arial" w:hAnsi="Arial" w:cs="Arial"/>
          <w:b/>
          <w:bCs/>
          <w:i/>
          <w:iCs/>
        </w:rPr>
        <w:t>Grant A</w:t>
      </w:r>
      <w:r w:rsidR="0084050F" w:rsidRPr="008F20DC">
        <w:rPr>
          <w:rFonts w:ascii="Arial" w:hAnsi="Arial" w:cs="Arial"/>
          <w:b/>
          <w:bCs/>
          <w:i/>
          <w:iCs/>
        </w:rPr>
        <w:t>greement complete.</w:t>
      </w:r>
      <w:r w:rsidR="0084050F" w:rsidRPr="008F20DC">
        <w:rPr>
          <w:rFonts w:ascii="Arial" w:hAnsi="Arial" w:cs="Arial"/>
          <w:i/>
          <w:iCs/>
        </w:rPr>
        <w:t xml:space="preserve"> </w:t>
      </w:r>
      <w:r w:rsidR="0084050F" w:rsidRPr="008F20DC">
        <w:rPr>
          <w:rFonts w:ascii="Arial" w:hAnsi="Arial" w:cs="Arial"/>
        </w:rPr>
        <w:t>This grant agreement contains all negotiations and agreements between the State and the Grantee. No other understanding regarding this grant agreement, whether written or oral, may be used to bind either party.</w:t>
      </w:r>
    </w:p>
    <w:p w14:paraId="2B918713" w14:textId="2CF9D519" w:rsidR="0084050F" w:rsidRPr="008F20DC" w:rsidRDefault="0084050F" w:rsidP="0084050F">
      <w:pPr>
        <w:keepNext/>
        <w:keepLines/>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t>Indemnification</w:t>
      </w:r>
    </w:p>
    <w:p w14:paraId="08F7A76B" w14:textId="166D377A" w:rsidR="0084050F" w:rsidRDefault="0084050F" w:rsidP="0084050F">
      <w:pPr>
        <w:keepNext/>
        <w:keepLines/>
        <w:widowControl w:val="0"/>
        <w:tabs>
          <w:tab w:val="left" w:pos="-360"/>
          <w:tab w:val="left" w:pos="0"/>
          <w:tab w:val="left" w:pos="270"/>
          <w:tab w:val="left" w:pos="1080"/>
          <w:tab w:val="left" w:pos="1260"/>
          <w:tab w:val="left" w:pos="1440"/>
          <w:tab w:val="left" w:pos="1800"/>
          <w:tab w:val="left" w:pos="2160"/>
          <w:tab w:val="left" w:pos="2880"/>
          <w:tab w:val="left" w:pos="3600"/>
          <w:tab w:val="left" w:pos="4320"/>
          <w:tab w:val="left" w:pos="5040"/>
          <w:tab w:val="left" w:pos="5760"/>
          <w:tab w:val="left" w:pos="6480"/>
          <w:tab w:val="left" w:pos="7029"/>
          <w:tab w:val="left" w:pos="7200"/>
          <w:tab w:val="left" w:pos="7878"/>
          <w:tab w:val="left" w:pos="8640"/>
          <w:tab w:val="left" w:pos="9360"/>
          <w:tab w:val="left" w:pos="10080"/>
          <w:tab w:val="left" w:pos="10800"/>
        </w:tabs>
        <w:autoSpaceDE w:val="0"/>
        <w:autoSpaceDN w:val="0"/>
        <w:adjustRightInd w:val="0"/>
        <w:ind w:left="360"/>
        <w:rPr>
          <w:rFonts w:ascii="Arial" w:hAnsi="Arial" w:cs="Arial"/>
        </w:rPr>
      </w:pPr>
      <w:r w:rsidRPr="008F20DC">
        <w:rPr>
          <w:rFonts w:ascii="Arial" w:hAnsi="Arial" w:cs="Arial"/>
        </w:rPr>
        <w:t>The Grantee must indemnify, save, and hold the State, its agents, and employees harmless from any claims or causes of action, including attorney’s fees incurred by the State, arising from the performance of this grant agreement by the Grantee or the Grantee’s agents or employees. This clause will not be construed to bar any legal remedies the Grantee may have for the State's failure to fulfill its obligations under this grant agreement.</w:t>
      </w:r>
    </w:p>
    <w:p w14:paraId="491CDC5E" w14:textId="24A701B8" w:rsidR="00A718DE" w:rsidRPr="00DC4D55" w:rsidRDefault="001E0493" w:rsidP="00A718DE">
      <w:pPr>
        <w:keepNext/>
        <w:widowControl w:val="0"/>
        <w:numPr>
          <w:ilvl w:val="0"/>
          <w:numId w:val="6"/>
        </w:numPr>
        <w:autoSpaceDE w:val="0"/>
        <w:autoSpaceDN w:val="0"/>
        <w:adjustRightInd w:val="0"/>
        <w:spacing w:before="120"/>
        <w:outlineLvl w:val="0"/>
        <w:rPr>
          <w:rFonts w:ascii="Arial" w:hAnsi="Arial" w:cs="Arial"/>
          <w:b/>
          <w:bCs/>
        </w:rPr>
      </w:pPr>
      <w:r>
        <w:rPr>
          <w:rFonts w:ascii="Arial" w:hAnsi="Arial" w:cs="Arial"/>
          <w:b/>
          <w:bCs/>
        </w:rPr>
        <w:t>Insurance Requirements</w:t>
      </w:r>
    </w:p>
    <w:p w14:paraId="622BE5D4" w14:textId="0269B4BE" w:rsidR="00A718DE" w:rsidRDefault="00A718DE" w:rsidP="00A718DE">
      <w:pPr>
        <w:pStyle w:val="BodyText"/>
        <w:tabs>
          <w:tab w:val="left" w:pos="450"/>
        </w:tabs>
        <w:spacing w:after="0"/>
        <w:ind w:left="360"/>
        <w:rPr>
          <w:rFonts w:ascii="Arial" w:hAnsi="Arial" w:cs="Arial"/>
          <w:color w:val="000000"/>
        </w:rPr>
      </w:pPr>
      <w:bookmarkStart w:id="0" w:name="_Hlk36799574"/>
      <w:r w:rsidRPr="00DC4D55">
        <w:rPr>
          <w:rFonts w:ascii="Arial" w:hAnsi="Arial" w:cs="Arial"/>
        </w:rPr>
        <w:t xml:space="preserve">Exhibit A Insurance </w:t>
      </w:r>
      <w:r>
        <w:rPr>
          <w:rFonts w:ascii="Arial" w:hAnsi="Arial" w:cs="Arial"/>
        </w:rPr>
        <w:t xml:space="preserve">Requirements is </w:t>
      </w:r>
      <w:r w:rsidRPr="00DC4D55">
        <w:rPr>
          <w:rFonts w:ascii="Arial" w:hAnsi="Arial" w:cs="Arial"/>
          <w:color w:val="000000"/>
        </w:rPr>
        <w:t xml:space="preserve">attached and incorporated into this </w:t>
      </w:r>
      <w:bookmarkEnd w:id="0"/>
      <w:r>
        <w:rPr>
          <w:rFonts w:ascii="Arial" w:hAnsi="Arial" w:cs="Arial"/>
          <w:color w:val="000000"/>
        </w:rPr>
        <w:t>Agreement.</w:t>
      </w:r>
    </w:p>
    <w:p w14:paraId="040503E4"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t>Government data prac</w:t>
      </w:r>
      <w:r>
        <w:rPr>
          <w:rFonts w:ascii="Arial" w:hAnsi="Arial" w:cs="Arial"/>
          <w:b/>
          <w:bCs/>
        </w:rPr>
        <w:t>tices and intellectual property</w:t>
      </w:r>
    </w:p>
    <w:p w14:paraId="4F72F4DB" w14:textId="32188EC6" w:rsidR="0084050F" w:rsidRPr="008F20DC" w:rsidRDefault="0084050F" w:rsidP="0084050F">
      <w:pPr>
        <w:tabs>
          <w:tab w:val="left" w:pos="-360"/>
        </w:tabs>
        <w:spacing w:before="120"/>
        <w:ind w:left="900" w:hanging="540"/>
        <w:rPr>
          <w:rFonts w:ascii="Arial" w:hAnsi="Arial" w:cs="Arial"/>
        </w:rPr>
      </w:pPr>
      <w:r w:rsidRPr="008F20DC">
        <w:rPr>
          <w:rFonts w:ascii="Arial" w:hAnsi="Arial" w:cs="Arial"/>
        </w:rPr>
        <w:t>1</w:t>
      </w:r>
      <w:r w:rsidR="00B941A2">
        <w:rPr>
          <w:rFonts w:ascii="Arial" w:hAnsi="Arial" w:cs="Arial"/>
        </w:rPr>
        <w:t>1</w:t>
      </w:r>
      <w:r w:rsidRPr="008F20DC">
        <w:rPr>
          <w:rFonts w:ascii="Arial" w:hAnsi="Arial" w:cs="Arial"/>
        </w:rPr>
        <w:t>.1</w:t>
      </w:r>
      <w:r w:rsidRPr="008F20DC">
        <w:rPr>
          <w:rFonts w:ascii="Arial" w:hAnsi="Arial" w:cs="Arial"/>
        </w:rPr>
        <w:tab/>
      </w:r>
      <w:r w:rsidRPr="008F20DC">
        <w:rPr>
          <w:rFonts w:ascii="Arial" w:hAnsi="Arial" w:cs="Arial"/>
          <w:b/>
          <w:bCs/>
          <w:i/>
          <w:iCs/>
        </w:rPr>
        <w:t>Government data practices</w:t>
      </w:r>
      <w:r w:rsidRPr="008F20DC">
        <w:rPr>
          <w:rFonts w:ascii="Arial" w:hAnsi="Arial" w:cs="Arial"/>
        </w:rPr>
        <w:t xml:space="preserve">. </w:t>
      </w:r>
      <w:r w:rsidR="00653BBA" w:rsidRPr="008F20DC">
        <w:rPr>
          <w:rFonts w:ascii="Arial" w:hAnsi="Arial" w:cs="Arial"/>
        </w:rPr>
        <w:t xml:space="preserve">The Grantee and State must comply with the Minnesota Government Data Practices Act, </w:t>
      </w:r>
      <w:hyperlink r:id="rId13" w:history="1">
        <w:r w:rsidR="00653BBA" w:rsidRPr="008F20DC">
          <w:rPr>
            <w:rFonts w:ascii="Arial" w:hAnsi="Arial" w:cs="Arial"/>
            <w:color w:val="0000FF"/>
            <w:u w:val="single"/>
          </w:rPr>
          <w:t>Minn. Stat. Ch. 13</w:t>
        </w:r>
      </w:hyperlink>
      <w:r w:rsidR="00653BBA" w:rsidRPr="008F20DC">
        <w:rPr>
          <w:rFonts w:ascii="Arial" w:hAnsi="Arial" w:cs="Arial"/>
        </w:rPr>
        <w:t xml:space="preserve">, as it applies to all data provided by the State under this grant agreement, and as it applies to all data created, collected, received, stored, used, maintained, or disseminated by the Grantee under this grant agreement. The civil remedies of </w:t>
      </w:r>
      <w:hyperlink r:id="rId14" w:history="1">
        <w:r w:rsidR="00653BBA" w:rsidRPr="008F20DC">
          <w:rPr>
            <w:rFonts w:ascii="Arial" w:hAnsi="Arial" w:cs="Arial"/>
            <w:color w:val="0000FF"/>
            <w:u w:val="single"/>
          </w:rPr>
          <w:t>Minn. Stat. § 13.08</w:t>
        </w:r>
      </w:hyperlink>
      <w:r w:rsidR="00653BBA" w:rsidRPr="008F20DC">
        <w:rPr>
          <w:rFonts w:ascii="Arial" w:hAnsi="Arial" w:cs="Arial"/>
        </w:rPr>
        <w:t xml:space="preserve"> apply to the release of the data referred to in this clause by either the Grantee or the State. 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shall comply with applicable law</w:t>
      </w:r>
      <w:r w:rsidRPr="008F20DC">
        <w:rPr>
          <w:rFonts w:ascii="Arial" w:hAnsi="Arial" w:cs="Arial"/>
        </w:rPr>
        <w:t>.</w:t>
      </w:r>
    </w:p>
    <w:p w14:paraId="620B9713" w14:textId="6EFDDC06" w:rsidR="001A0CF9" w:rsidRPr="001A0CF9" w:rsidRDefault="001A0CF9" w:rsidP="001A0CF9">
      <w:pPr>
        <w:keepNext/>
        <w:tabs>
          <w:tab w:val="left" w:pos="-360"/>
        </w:tabs>
        <w:spacing w:before="120"/>
        <w:ind w:left="907" w:hanging="547"/>
        <w:rPr>
          <w:rFonts w:ascii="Arial" w:hAnsi="Arial" w:cs="Arial"/>
          <w:b/>
          <w:bCs/>
          <w:i/>
          <w:iCs/>
        </w:rPr>
      </w:pPr>
      <w:r w:rsidRPr="001A0CF9">
        <w:rPr>
          <w:rFonts w:ascii="Arial" w:hAnsi="Arial" w:cs="Arial"/>
        </w:rPr>
        <w:t>1</w:t>
      </w:r>
      <w:r w:rsidR="00B941A2">
        <w:rPr>
          <w:rFonts w:ascii="Arial" w:hAnsi="Arial" w:cs="Arial"/>
        </w:rPr>
        <w:t>1</w:t>
      </w:r>
      <w:r w:rsidRPr="001A0CF9">
        <w:rPr>
          <w:rFonts w:ascii="Arial" w:hAnsi="Arial" w:cs="Arial"/>
        </w:rPr>
        <w:t>.2</w:t>
      </w:r>
      <w:r w:rsidRPr="001A0CF9">
        <w:rPr>
          <w:rFonts w:ascii="Arial" w:hAnsi="Arial" w:cs="Arial"/>
        </w:rPr>
        <w:tab/>
      </w:r>
      <w:r w:rsidRPr="001A0CF9">
        <w:rPr>
          <w:rFonts w:ascii="Arial" w:hAnsi="Arial" w:cs="Arial"/>
          <w:b/>
          <w:bCs/>
          <w:i/>
          <w:iCs/>
        </w:rPr>
        <w:t>Intellectual property rights</w:t>
      </w:r>
    </w:p>
    <w:p w14:paraId="76A40647" w14:textId="4E257636" w:rsidR="001A0CF9" w:rsidRPr="001A0CF9" w:rsidRDefault="001A0CF9" w:rsidP="001A0CF9">
      <w:pPr>
        <w:pStyle w:val="ListParagraph"/>
        <w:ind w:left="900"/>
        <w:rPr>
          <w:rFonts w:ascii="Arial" w:hAnsi="Arial" w:cs="Arial"/>
        </w:rPr>
      </w:pPr>
      <w:r w:rsidRPr="001A0CF9">
        <w:rPr>
          <w:rFonts w:ascii="Arial" w:hAnsi="Arial" w:cs="Arial"/>
        </w:rPr>
        <w:t xml:space="preserve">The Grantee shall own all rights, title, and interest in all of the intellectual property rights, including copyrights, patents, trade secrets, trademarks, and service marks in the </w:t>
      </w:r>
      <w:r w:rsidR="001E0493">
        <w:rPr>
          <w:rFonts w:ascii="Arial" w:hAnsi="Arial" w:cs="Arial"/>
        </w:rPr>
        <w:t>works</w:t>
      </w:r>
      <w:r w:rsidRPr="001A0CF9">
        <w:rPr>
          <w:rFonts w:ascii="Arial" w:hAnsi="Arial" w:cs="Arial"/>
        </w:rPr>
        <w:t xml:space="preserve"> and </w:t>
      </w:r>
      <w:r w:rsidR="001E0493" w:rsidRPr="001A0CF9">
        <w:rPr>
          <w:rFonts w:ascii="Arial" w:hAnsi="Arial" w:cs="Arial"/>
        </w:rPr>
        <w:t>documents</w:t>
      </w:r>
      <w:r w:rsidRPr="001A0CF9">
        <w:rPr>
          <w:rFonts w:ascii="Arial" w:hAnsi="Arial" w:cs="Arial"/>
        </w:rPr>
        <w:t xml:space="preserve">. </w:t>
      </w:r>
      <w:r w:rsidR="001E0493">
        <w:rPr>
          <w:rFonts w:ascii="Arial" w:hAnsi="Arial" w:cs="Arial"/>
        </w:rPr>
        <w:t>Works</w:t>
      </w:r>
      <w:r w:rsidRPr="001A0CF9">
        <w:rPr>
          <w:rFonts w:ascii="Arial" w:hAnsi="Arial" w:cs="Arial"/>
        </w:rPr>
        <w:t xml:space="preserve"> shall mean all inventions, improvements or discoveries (whether or not patentable), databases, computer </w:t>
      </w:r>
      <w:r w:rsidRPr="001A0CF9">
        <w:rPr>
          <w:rFonts w:ascii="Arial" w:hAnsi="Arial" w:cs="Arial"/>
        </w:rPr>
        <w:lastRenderedPageBreak/>
        <w:t xml:space="preserve">programs, reports, notes, studies, photographs, negatives, designs, drawings, specifications, materials, tapes, and disks, conceived, reduced to practices, created or originated by the grantee, its employees, and subcontractors, either individually or jointly with others, in the performance of the contract. </w:t>
      </w:r>
      <w:r w:rsidR="001E0493">
        <w:rPr>
          <w:rFonts w:ascii="Arial" w:hAnsi="Arial" w:cs="Arial"/>
        </w:rPr>
        <w:t>Works</w:t>
      </w:r>
      <w:r w:rsidRPr="001A0CF9">
        <w:rPr>
          <w:rFonts w:ascii="Arial" w:hAnsi="Arial" w:cs="Arial"/>
        </w:rPr>
        <w:t xml:space="preserve"> shall include the </w:t>
      </w:r>
      <w:r w:rsidR="001E0493" w:rsidRPr="001A0CF9">
        <w:rPr>
          <w:rFonts w:ascii="Arial" w:hAnsi="Arial" w:cs="Arial"/>
        </w:rPr>
        <w:t>documents</w:t>
      </w:r>
      <w:r w:rsidRPr="001A0CF9">
        <w:rPr>
          <w:rFonts w:ascii="Arial" w:hAnsi="Arial" w:cs="Arial"/>
        </w:rPr>
        <w:t xml:space="preserve">. The </w:t>
      </w:r>
      <w:r w:rsidR="001E0493" w:rsidRPr="001A0CF9">
        <w:rPr>
          <w:rFonts w:ascii="Arial" w:hAnsi="Arial" w:cs="Arial"/>
        </w:rPr>
        <w:t xml:space="preserve">documents </w:t>
      </w:r>
      <w:r w:rsidRPr="001A0CF9">
        <w:rPr>
          <w:rFonts w:ascii="Arial" w:hAnsi="Arial" w:cs="Arial"/>
        </w:rPr>
        <w:t xml:space="preserve">are the originals of any databases, computer programs, reports, notes, or other materials and documents, whether intangible or electronic forms, prepared by the Grantee, its employees, or subcontractors, in the performance of this Grant Contract Agreement. The </w:t>
      </w:r>
      <w:r w:rsidR="001E0493" w:rsidRPr="001A0CF9">
        <w:rPr>
          <w:rFonts w:ascii="Arial" w:hAnsi="Arial" w:cs="Arial"/>
        </w:rPr>
        <w:t xml:space="preserve">documents </w:t>
      </w:r>
      <w:r w:rsidRPr="001A0CF9">
        <w:rPr>
          <w:rFonts w:ascii="Arial" w:hAnsi="Arial" w:cs="Arial"/>
        </w:rPr>
        <w:t xml:space="preserve">shall be the exclusive property of the Grantee. The State agrees to, and hereby does, assign all rights, title, and interest it may have in </w:t>
      </w:r>
      <w:r w:rsidR="001E0493" w:rsidRPr="001A0CF9">
        <w:rPr>
          <w:rFonts w:ascii="Arial" w:hAnsi="Arial" w:cs="Arial"/>
        </w:rPr>
        <w:t xml:space="preserve">the </w:t>
      </w:r>
      <w:r w:rsidR="001E0493">
        <w:rPr>
          <w:rFonts w:ascii="Arial" w:hAnsi="Arial" w:cs="Arial"/>
        </w:rPr>
        <w:t>works</w:t>
      </w:r>
      <w:r w:rsidR="001E0493" w:rsidRPr="001A0CF9">
        <w:rPr>
          <w:rFonts w:ascii="Arial" w:hAnsi="Arial" w:cs="Arial"/>
        </w:rPr>
        <w:t xml:space="preserve"> and the documents to </w:t>
      </w:r>
      <w:r w:rsidRPr="001A0CF9">
        <w:rPr>
          <w:rFonts w:ascii="Arial" w:hAnsi="Arial" w:cs="Arial"/>
        </w:rPr>
        <w:t xml:space="preserve">the Grantee. The State shall, at the request of the Grantee, execute all papers and perform all other acts necessary to transfer or record the Grantee’s ownership interest in the </w:t>
      </w:r>
      <w:r w:rsidR="001E0493">
        <w:rPr>
          <w:rFonts w:ascii="Arial" w:hAnsi="Arial" w:cs="Arial"/>
        </w:rPr>
        <w:t>works</w:t>
      </w:r>
      <w:r w:rsidR="001E0493" w:rsidRPr="001A0CF9">
        <w:rPr>
          <w:rFonts w:ascii="Arial" w:hAnsi="Arial" w:cs="Arial"/>
        </w:rPr>
        <w:t xml:space="preserve"> and the documents</w:t>
      </w:r>
      <w:r w:rsidRPr="001A0CF9">
        <w:rPr>
          <w:rFonts w:ascii="Arial" w:hAnsi="Arial" w:cs="Arial"/>
        </w:rPr>
        <w:t>.</w:t>
      </w:r>
    </w:p>
    <w:p w14:paraId="0D91D765" w14:textId="348B2574" w:rsidR="001A0CF9" w:rsidRPr="001A0CF9" w:rsidRDefault="001A0CF9" w:rsidP="001A0CF9">
      <w:pPr>
        <w:keepNext/>
        <w:tabs>
          <w:tab w:val="left" w:pos="-360"/>
        </w:tabs>
        <w:spacing w:before="120"/>
        <w:ind w:left="907" w:hanging="547"/>
        <w:rPr>
          <w:rFonts w:ascii="Arial" w:hAnsi="Arial" w:cs="Arial"/>
          <w:b/>
          <w:bCs/>
          <w:i/>
          <w:iCs/>
        </w:rPr>
      </w:pPr>
      <w:r w:rsidRPr="001A0CF9">
        <w:rPr>
          <w:rFonts w:ascii="Arial" w:hAnsi="Arial" w:cs="Arial"/>
        </w:rPr>
        <w:t>1</w:t>
      </w:r>
      <w:r w:rsidR="00B941A2">
        <w:rPr>
          <w:rFonts w:ascii="Arial" w:hAnsi="Arial" w:cs="Arial"/>
        </w:rPr>
        <w:t>1</w:t>
      </w:r>
      <w:r w:rsidRPr="001A0CF9">
        <w:rPr>
          <w:rFonts w:ascii="Arial" w:hAnsi="Arial" w:cs="Arial"/>
        </w:rPr>
        <w:t xml:space="preserve">.3 </w:t>
      </w:r>
      <w:r w:rsidRPr="001A0CF9">
        <w:rPr>
          <w:rFonts w:ascii="Arial" w:hAnsi="Arial" w:cs="Arial"/>
        </w:rPr>
        <w:tab/>
      </w:r>
      <w:r w:rsidRPr="001A0CF9">
        <w:rPr>
          <w:rFonts w:ascii="Arial" w:hAnsi="Arial" w:cs="Arial"/>
          <w:b/>
          <w:bCs/>
          <w:i/>
          <w:iCs/>
        </w:rPr>
        <w:t>Obligations</w:t>
      </w:r>
    </w:p>
    <w:p w14:paraId="05A02E33" w14:textId="3C853821" w:rsidR="001A0CF9" w:rsidRPr="001A0CF9" w:rsidRDefault="001A0CF9" w:rsidP="001A0CF9">
      <w:pPr>
        <w:pStyle w:val="ListParagraph"/>
        <w:ind w:left="907"/>
        <w:rPr>
          <w:rFonts w:ascii="Arial" w:hAnsi="Arial" w:cs="Arial"/>
        </w:rPr>
      </w:pPr>
      <w:r w:rsidRPr="001A0CF9">
        <w:rPr>
          <w:rFonts w:ascii="Arial" w:hAnsi="Arial" w:cs="Arial"/>
        </w:rPr>
        <w:t xml:space="preserve">The Grantee represents and warrants to the State that </w:t>
      </w:r>
      <w:r w:rsidR="001E0493" w:rsidRPr="001A0CF9">
        <w:rPr>
          <w:rFonts w:ascii="Arial" w:hAnsi="Arial" w:cs="Arial"/>
        </w:rPr>
        <w:t xml:space="preserve">the </w:t>
      </w:r>
      <w:r w:rsidR="001E0493">
        <w:rPr>
          <w:rFonts w:ascii="Arial" w:hAnsi="Arial" w:cs="Arial"/>
        </w:rPr>
        <w:t>works</w:t>
      </w:r>
      <w:r w:rsidR="001E0493" w:rsidRPr="001A0CF9">
        <w:rPr>
          <w:rFonts w:ascii="Arial" w:hAnsi="Arial" w:cs="Arial"/>
        </w:rPr>
        <w:t xml:space="preserve"> and documents do </w:t>
      </w:r>
      <w:r w:rsidRPr="001A0CF9">
        <w:rPr>
          <w:rFonts w:ascii="Arial" w:hAnsi="Arial" w:cs="Arial"/>
        </w:rPr>
        <w:t xml:space="preserve">not and shall not infringe upon any intellectual property rights of others. The Grantee shall indemnify, defend and hold harmless the State at the Grantee’s expense, from any action or claim brought against the State to the extent that it is based on a claim that all or part of </w:t>
      </w:r>
      <w:r w:rsidR="001E0493" w:rsidRPr="001A0CF9">
        <w:rPr>
          <w:rFonts w:ascii="Arial" w:hAnsi="Arial" w:cs="Arial"/>
        </w:rPr>
        <w:t xml:space="preserve">the </w:t>
      </w:r>
      <w:r w:rsidR="001E0493">
        <w:rPr>
          <w:rFonts w:ascii="Arial" w:hAnsi="Arial" w:cs="Arial"/>
        </w:rPr>
        <w:t>works</w:t>
      </w:r>
      <w:r w:rsidR="001E0493" w:rsidRPr="001A0CF9">
        <w:rPr>
          <w:rFonts w:ascii="Arial" w:hAnsi="Arial" w:cs="Arial"/>
        </w:rPr>
        <w:t xml:space="preserve"> or documents infringe </w:t>
      </w:r>
      <w:r w:rsidRPr="001A0CF9">
        <w:rPr>
          <w:rFonts w:ascii="Arial" w:hAnsi="Arial" w:cs="Arial"/>
        </w:rPr>
        <w:t>upon intellectual property rights of others. The Grantee shall be responsible for payment of any and all such claims, demands, obligations, liabilities, costs and damages including but not limited to, attorney fees. If such a claim or action arises, or in the Grantee or State’s opinion is likely to arise, the Grantee shall, at the State’s discretion, either attempt to procure for the State on commercially reasonable terms the right or license to use the intellectual property rights at issue or replace or modify the allegedly infringing</w:t>
      </w:r>
      <w:r w:rsidR="001E0493" w:rsidRPr="001A0CF9">
        <w:rPr>
          <w:rFonts w:ascii="Arial" w:hAnsi="Arial" w:cs="Arial"/>
        </w:rPr>
        <w:t xml:space="preserve"> </w:t>
      </w:r>
      <w:r w:rsidR="001E0493">
        <w:rPr>
          <w:rFonts w:ascii="Arial" w:hAnsi="Arial" w:cs="Arial"/>
        </w:rPr>
        <w:t>works</w:t>
      </w:r>
      <w:r w:rsidR="001E0493" w:rsidRPr="001A0CF9">
        <w:rPr>
          <w:rFonts w:ascii="Arial" w:hAnsi="Arial" w:cs="Arial"/>
        </w:rPr>
        <w:t xml:space="preserve"> or documents </w:t>
      </w:r>
      <w:r w:rsidRPr="001A0CF9">
        <w:rPr>
          <w:rFonts w:ascii="Arial" w:hAnsi="Arial" w:cs="Arial"/>
        </w:rPr>
        <w:t xml:space="preserve">as necessary and appropriate to obviate the infringement claim. This remedy of the State shall be in addition to and shall not be exclusive to other remedies provided by law. Nothing in this Article 10.3 shall constitute or be construed to constitute a waiver by either the State or the Grantee of the sovereign immunity of each party from certain suits or remedies relating to infringement claims. Grantee may assert the immunities of the State in connection with Grantee’s defense of any infringement claim brought against the State. The State shall reasonably cooperate with the Grantee in connection with the Grantee’s defense of any claim or suit, and the State shall discontinue use of any allegedly </w:t>
      </w:r>
      <w:r w:rsidR="001E0493" w:rsidRPr="001A0CF9">
        <w:rPr>
          <w:rFonts w:ascii="Arial" w:hAnsi="Arial" w:cs="Arial"/>
        </w:rPr>
        <w:t xml:space="preserve">infringing </w:t>
      </w:r>
      <w:r w:rsidR="001E0493">
        <w:rPr>
          <w:rFonts w:ascii="Arial" w:hAnsi="Arial" w:cs="Arial"/>
        </w:rPr>
        <w:t>works</w:t>
      </w:r>
      <w:r w:rsidR="001E0493" w:rsidRPr="001A0CF9">
        <w:rPr>
          <w:rFonts w:ascii="Arial" w:hAnsi="Arial" w:cs="Arial"/>
        </w:rPr>
        <w:t xml:space="preserve"> or documents </w:t>
      </w:r>
      <w:r w:rsidRPr="001A0CF9">
        <w:rPr>
          <w:rFonts w:ascii="Arial" w:hAnsi="Arial" w:cs="Arial"/>
        </w:rPr>
        <w:t>at Grantee’s reasonable request.</w:t>
      </w:r>
    </w:p>
    <w:p w14:paraId="6AFF8611" w14:textId="096400A4" w:rsidR="001A0CF9" w:rsidRPr="001A0CF9" w:rsidRDefault="001A0CF9" w:rsidP="001A0CF9">
      <w:pPr>
        <w:keepNext/>
        <w:tabs>
          <w:tab w:val="left" w:pos="-360"/>
        </w:tabs>
        <w:spacing w:before="120"/>
        <w:ind w:left="907" w:hanging="547"/>
        <w:rPr>
          <w:rFonts w:ascii="Arial" w:hAnsi="Arial" w:cs="Arial"/>
          <w:b/>
          <w:bCs/>
          <w:i/>
          <w:iCs/>
        </w:rPr>
      </w:pPr>
      <w:r w:rsidRPr="001A0CF9">
        <w:rPr>
          <w:rFonts w:ascii="Arial" w:hAnsi="Arial" w:cs="Arial"/>
        </w:rPr>
        <w:t>1</w:t>
      </w:r>
      <w:r w:rsidR="00B941A2">
        <w:rPr>
          <w:rFonts w:ascii="Arial" w:hAnsi="Arial" w:cs="Arial"/>
        </w:rPr>
        <w:t>1</w:t>
      </w:r>
      <w:r w:rsidRPr="001A0CF9">
        <w:rPr>
          <w:rFonts w:ascii="Arial" w:hAnsi="Arial" w:cs="Arial"/>
        </w:rPr>
        <w:t xml:space="preserve">.4 </w:t>
      </w:r>
      <w:r>
        <w:rPr>
          <w:rFonts w:ascii="Arial" w:hAnsi="Arial" w:cs="Arial"/>
        </w:rPr>
        <w:tab/>
      </w:r>
      <w:r w:rsidRPr="001A0CF9">
        <w:rPr>
          <w:rFonts w:ascii="Arial" w:hAnsi="Arial" w:cs="Arial"/>
          <w:b/>
          <w:bCs/>
          <w:i/>
          <w:iCs/>
        </w:rPr>
        <w:t>License to State</w:t>
      </w:r>
    </w:p>
    <w:p w14:paraId="61484AB6" w14:textId="00BD8559" w:rsidR="001A0CF9" w:rsidRPr="00C927CC" w:rsidRDefault="001A0CF9" w:rsidP="00C927CC">
      <w:pPr>
        <w:pStyle w:val="ListParagraph"/>
        <w:ind w:left="900"/>
        <w:rPr>
          <w:rFonts w:ascii="Arial" w:hAnsi="Arial" w:cs="Arial"/>
        </w:rPr>
      </w:pPr>
      <w:r w:rsidRPr="001A0CF9">
        <w:rPr>
          <w:rFonts w:ascii="Arial" w:hAnsi="Arial" w:cs="Arial"/>
        </w:rPr>
        <w:t xml:space="preserve">Subject to the terms and conditions of this grant contract agreement, the Grantee hereby grants to the State a perpetual, irrevocable, no-fee right and license to make, have made, reproduce, modify, distribute, perform, and otherwise use </w:t>
      </w:r>
      <w:r w:rsidR="001E0493" w:rsidRPr="001A0CF9">
        <w:rPr>
          <w:rFonts w:ascii="Arial" w:hAnsi="Arial" w:cs="Arial"/>
        </w:rPr>
        <w:t xml:space="preserve">the </w:t>
      </w:r>
      <w:r w:rsidR="001E0493">
        <w:rPr>
          <w:rFonts w:ascii="Arial" w:hAnsi="Arial" w:cs="Arial"/>
        </w:rPr>
        <w:t>works</w:t>
      </w:r>
      <w:r w:rsidR="001E0493" w:rsidRPr="001A0CF9">
        <w:rPr>
          <w:rFonts w:ascii="Arial" w:hAnsi="Arial" w:cs="Arial"/>
        </w:rPr>
        <w:t xml:space="preserve"> and documents for </w:t>
      </w:r>
      <w:r w:rsidRPr="001A0CF9">
        <w:rPr>
          <w:rFonts w:ascii="Arial" w:hAnsi="Arial" w:cs="Arial"/>
        </w:rPr>
        <w:t xml:space="preserve">any and all purposes, in all forms and manners that the State, in its sole discretion, deems appropriate. The Grantee shall, upon the request of the State, execute all papers and perform all other acts necessary, to document and secure said right and license to the </w:t>
      </w:r>
      <w:r w:rsidR="001E0493">
        <w:rPr>
          <w:rFonts w:ascii="Arial" w:hAnsi="Arial" w:cs="Arial"/>
        </w:rPr>
        <w:t>works</w:t>
      </w:r>
      <w:r w:rsidR="001E0493" w:rsidRPr="001A0CF9">
        <w:rPr>
          <w:rFonts w:ascii="Arial" w:hAnsi="Arial" w:cs="Arial"/>
        </w:rPr>
        <w:t xml:space="preserve"> and documents </w:t>
      </w:r>
      <w:r w:rsidRPr="001A0CF9">
        <w:rPr>
          <w:rFonts w:ascii="Arial" w:hAnsi="Arial" w:cs="Arial"/>
        </w:rPr>
        <w:t xml:space="preserve">by the State. At the request of the State, the Grantee shall permit the State to inspect the </w:t>
      </w:r>
      <w:r w:rsidR="001E0493" w:rsidRPr="001A0CF9">
        <w:rPr>
          <w:rFonts w:ascii="Arial" w:hAnsi="Arial" w:cs="Arial"/>
        </w:rPr>
        <w:t xml:space="preserve">original documents and provide a copy of any of the documents to </w:t>
      </w:r>
      <w:r w:rsidRPr="001A0CF9">
        <w:rPr>
          <w:rFonts w:ascii="Arial" w:hAnsi="Arial" w:cs="Arial"/>
        </w:rPr>
        <w:t>the State, without cost, for use by th</w:t>
      </w:r>
      <w:r w:rsidR="001E0493" w:rsidRPr="001A0CF9">
        <w:rPr>
          <w:rFonts w:ascii="Arial" w:hAnsi="Arial" w:cs="Arial"/>
        </w:rPr>
        <w:t xml:space="preserve">e state </w:t>
      </w:r>
      <w:r w:rsidRPr="001A0CF9">
        <w:rPr>
          <w:rFonts w:ascii="Arial" w:hAnsi="Arial" w:cs="Arial"/>
        </w:rPr>
        <w:t>in any manner the State, in its sole discretion, deems appropriate.</w:t>
      </w:r>
    </w:p>
    <w:p w14:paraId="2D67082D" w14:textId="368A7486" w:rsidR="001A0CF9" w:rsidRPr="001A0CF9" w:rsidRDefault="001A0CF9" w:rsidP="001A0CF9">
      <w:pPr>
        <w:keepNext/>
        <w:tabs>
          <w:tab w:val="left" w:pos="-360"/>
        </w:tabs>
        <w:spacing w:before="120"/>
        <w:ind w:left="907" w:hanging="547"/>
        <w:rPr>
          <w:rFonts w:ascii="Arial" w:hAnsi="Arial" w:cs="Arial"/>
        </w:rPr>
      </w:pPr>
      <w:r w:rsidRPr="001A0CF9">
        <w:rPr>
          <w:rFonts w:ascii="Arial" w:hAnsi="Arial" w:cs="Arial"/>
        </w:rPr>
        <w:t>1</w:t>
      </w:r>
      <w:r w:rsidR="00B941A2">
        <w:rPr>
          <w:rFonts w:ascii="Arial" w:hAnsi="Arial" w:cs="Arial"/>
        </w:rPr>
        <w:t>1</w:t>
      </w:r>
      <w:r w:rsidRPr="001A0CF9">
        <w:rPr>
          <w:rFonts w:ascii="Arial" w:hAnsi="Arial" w:cs="Arial"/>
        </w:rPr>
        <w:t xml:space="preserve">.5 </w:t>
      </w:r>
      <w:r w:rsidRPr="001A0CF9">
        <w:rPr>
          <w:rFonts w:ascii="Arial" w:hAnsi="Arial" w:cs="Arial"/>
        </w:rPr>
        <w:tab/>
      </w:r>
      <w:r w:rsidRPr="001A0CF9">
        <w:rPr>
          <w:rFonts w:ascii="Arial" w:hAnsi="Arial" w:cs="Arial"/>
          <w:b/>
          <w:bCs/>
          <w:i/>
          <w:iCs/>
        </w:rPr>
        <w:t>Survivability</w:t>
      </w:r>
    </w:p>
    <w:p w14:paraId="64B17AF1" w14:textId="77777777" w:rsidR="001A0CF9" w:rsidRPr="001A0CF9" w:rsidRDefault="001A0CF9" w:rsidP="001A0CF9">
      <w:pPr>
        <w:pStyle w:val="ListParagraph"/>
        <w:ind w:left="900"/>
        <w:rPr>
          <w:rFonts w:ascii="Arial" w:hAnsi="Arial" w:cs="Arial"/>
        </w:rPr>
      </w:pPr>
      <w:r w:rsidRPr="001A0CF9">
        <w:rPr>
          <w:rFonts w:ascii="Arial" w:hAnsi="Arial" w:cs="Arial"/>
        </w:rPr>
        <w:t>The rights and duties of the State and the Grantee, provided for above, shall survive the expiration or cancellation of this grant contract agreement.</w:t>
      </w:r>
    </w:p>
    <w:p w14:paraId="28F9BB28"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Pr>
          <w:rFonts w:ascii="Arial" w:hAnsi="Arial" w:cs="Arial"/>
          <w:b/>
          <w:bCs/>
        </w:rPr>
        <w:t>Workers’ c</w:t>
      </w:r>
      <w:r w:rsidRPr="008F20DC">
        <w:rPr>
          <w:rFonts w:ascii="Arial" w:hAnsi="Arial" w:cs="Arial"/>
          <w:b/>
          <w:bCs/>
        </w:rPr>
        <w:t>ompensation</w:t>
      </w:r>
    </w:p>
    <w:p w14:paraId="0F8DC7E6" w14:textId="24F60657" w:rsidR="0084050F" w:rsidRPr="008F20DC" w:rsidRDefault="00653BBA" w:rsidP="0084050F">
      <w:pPr>
        <w:tabs>
          <w:tab w:val="left" w:pos="0"/>
          <w:tab w:val="left" w:pos="360"/>
          <w:tab w:val="left" w:pos="1008"/>
          <w:tab w:val="left" w:pos="1260"/>
          <w:tab w:val="left" w:pos="1440"/>
          <w:tab w:val="left" w:pos="1800"/>
        </w:tabs>
        <w:ind w:left="360"/>
        <w:rPr>
          <w:rFonts w:ascii="Arial" w:hAnsi="Arial" w:cs="Arial"/>
        </w:rPr>
      </w:pPr>
      <w:r w:rsidRPr="008F20DC">
        <w:rPr>
          <w:rFonts w:ascii="Arial" w:hAnsi="Arial" w:cs="Arial"/>
        </w:rPr>
        <w:t xml:space="preserve">The Grantee certifies that it is in compliance </w:t>
      </w:r>
      <w:r w:rsidRPr="008F20DC">
        <w:rPr>
          <w:rFonts w:ascii="Arial" w:hAnsi="Arial" w:cs="Arial"/>
          <w:color w:val="000000"/>
        </w:rPr>
        <w:t xml:space="preserve">with </w:t>
      </w:r>
      <w:hyperlink r:id="rId15" w:history="1">
        <w:r w:rsidRPr="008F20DC">
          <w:rPr>
            <w:rFonts w:ascii="Arial" w:hAnsi="Arial" w:cs="Arial"/>
            <w:color w:val="0000FF"/>
            <w:u w:val="single"/>
          </w:rPr>
          <w:t>Minn. Stat. § 176.181</w:t>
        </w:r>
      </w:hyperlink>
      <w:r w:rsidRPr="008F20DC">
        <w:rPr>
          <w:rFonts w:ascii="Arial" w:hAnsi="Arial" w:cs="Arial"/>
          <w:color w:val="000000"/>
        </w:rPr>
        <w:t>, subd. 2, pertaining to workers’</w:t>
      </w:r>
      <w:r w:rsidRPr="008F20DC">
        <w:rPr>
          <w:rFonts w:ascii="Arial" w:hAnsi="Arial" w:cs="Arial"/>
        </w:rPr>
        <w:t xml:space="preserve"> compensation insurance coverage. The Grantee’s employees and agents will not be considered State employees. Any claims that may arise under the Minnesota Workers’ Compensation Act on behalf of these employees and any claims made by any third party as a consequence of any act or omission on the part of these employees are in no way the State’s obligation or responsibility</w:t>
      </w:r>
      <w:r w:rsidR="0084050F" w:rsidRPr="008F20DC">
        <w:rPr>
          <w:rFonts w:ascii="Arial" w:hAnsi="Arial" w:cs="Arial"/>
        </w:rPr>
        <w:t xml:space="preserve">. </w:t>
      </w:r>
    </w:p>
    <w:p w14:paraId="4D3A7847"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Pr>
          <w:rFonts w:ascii="Arial" w:hAnsi="Arial" w:cs="Arial"/>
          <w:b/>
          <w:bCs/>
        </w:rPr>
        <w:t>Publicity and e</w:t>
      </w:r>
      <w:r w:rsidRPr="008F20DC">
        <w:rPr>
          <w:rFonts w:ascii="Arial" w:hAnsi="Arial" w:cs="Arial"/>
          <w:b/>
          <w:bCs/>
        </w:rPr>
        <w:t>ndorsement</w:t>
      </w:r>
    </w:p>
    <w:p w14:paraId="57251EB2" w14:textId="6F0C4934" w:rsidR="0084050F" w:rsidRPr="008F20DC" w:rsidRDefault="0084050F" w:rsidP="0084050F">
      <w:pPr>
        <w:spacing w:before="120"/>
        <w:ind w:left="900" w:hanging="540"/>
        <w:rPr>
          <w:rFonts w:ascii="Arial" w:hAnsi="Arial" w:cs="Arial"/>
        </w:rPr>
      </w:pPr>
      <w:r w:rsidRPr="008F20DC">
        <w:rPr>
          <w:rFonts w:ascii="Arial" w:hAnsi="Arial" w:cs="Arial"/>
        </w:rPr>
        <w:t>1</w:t>
      </w:r>
      <w:r w:rsidR="00B941A2">
        <w:rPr>
          <w:rFonts w:ascii="Arial" w:hAnsi="Arial" w:cs="Arial"/>
        </w:rPr>
        <w:t>3</w:t>
      </w:r>
      <w:r w:rsidRPr="008F20DC">
        <w:rPr>
          <w:rFonts w:ascii="Arial" w:hAnsi="Arial" w:cs="Arial"/>
        </w:rPr>
        <w:t>.1</w:t>
      </w:r>
      <w:r w:rsidRPr="008F20DC">
        <w:rPr>
          <w:rFonts w:ascii="Arial" w:hAnsi="Arial" w:cs="Arial"/>
        </w:rPr>
        <w:tab/>
      </w:r>
      <w:r w:rsidRPr="008F20DC">
        <w:rPr>
          <w:rFonts w:ascii="Arial" w:hAnsi="Arial" w:cs="Arial"/>
          <w:b/>
          <w:bCs/>
          <w:i/>
          <w:iCs/>
        </w:rPr>
        <w:t>Publicity</w:t>
      </w:r>
      <w:r w:rsidRPr="008F20DC">
        <w:rPr>
          <w:rFonts w:ascii="Arial" w:hAnsi="Arial" w:cs="Arial"/>
        </w:rPr>
        <w:t>. Any publicity regarding the subject matter of this grant agreement must identify the State as the sponsoring agency and must not be released without prior written approval from the State’s Authorized Representative. For purposes of this provision, publicity includes notices, informational pamphlets, press releases, research, reports, signs, and similar public notices prepared by or for the Grantee individually or jointly with others, or any subcontractors, with respect to the program, publications, or services provided resulting from this grant agreement.</w:t>
      </w:r>
      <w:r>
        <w:rPr>
          <w:rFonts w:ascii="Arial" w:hAnsi="Arial" w:cs="Arial"/>
        </w:rPr>
        <w:t xml:space="preserve"> </w:t>
      </w:r>
    </w:p>
    <w:p w14:paraId="461789E0" w14:textId="12010FDF" w:rsidR="0084050F" w:rsidRPr="008F20DC" w:rsidRDefault="0084050F" w:rsidP="0084050F">
      <w:pPr>
        <w:tabs>
          <w:tab w:val="left" w:pos="-360"/>
        </w:tabs>
        <w:spacing w:before="120"/>
        <w:ind w:left="900" w:hanging="540"/>
        <w:rPr>
          <w:rFonts w:ascii="Arial" w:hAnsi="Arial" w:cs="Arial"/>
        </w:rPr>
      </w:pPr>
      <w:r w:rsidRPr="008F20DC">
        <w:rPr>
          <w:rFonts w:ascii="Arial" w:hAnsi="Arial" w:cs="Arial"/>
        </w:rPr>
        <w:t>1</w:t>
      </w:r>
      <w:r w:rsidR="00B941A2">
        <w:rPr>
          <w:rFonts w:ascii="Arial" w:hAnsi="Arial" w:cs="Arial"/>
        </w:rPr>
        <w:t>3</w:t>
      </w:r>
      <w:r w:rsidRPr="008F20DC">
        <w:rPr>
          <w:rFonts w:ascii="Arial" w:hAnsi="Arial" w:cs="Arial"/>
        </w:rPr>
        <w:t>.2</w:t>
      </w:r>
      <w:r w:rsidRPr="008F20DC">
        <w:rPr>
          <w:rFonts w:ascii="Arial" w:hAnsi="Arial" w:cs="Arial"/>
        </w:rPr>
        <w:tab/>
      </w:r>
      <w:r w:rsidRPr="008F20DC">
        <w:rPr>
          <w:rFonts w:ascii="Arial" w:hAnsi="Arial" w:cs="Arial"/>
          <w:b/>
          <w:bCs/>
          <w:i/>
          <w:iCs/>
        </w:rPr>
        <w:t>Endorsement</w:t>
      </w:r>
      <w:r w:rsidRPr="008F20DC">
        <w:rPr>
          <w:rFonts w:ascii="Arial" w:hAnsi="Arial" w:cs="Arial"/>
        </w:rPr>
        <w:t>. The Grantee must not claim that the State endorses its products or services.</w:t>
      </w:r>
    </w:p>
    <w:p w14:paraId="10112FD8"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lastRenderedPageBreak/>
        <w:t>Governing</w:t>
      </w:r>
      <w:r w:rsidRPr="008F20DC">
        <w:rPr>
          <w:rFonts w:ascii="Arial" w:hAnsi="Arial" w:cs="Arial"/>
          <w:b/>
        </w:rPr>
        <w:t xml:space="preserve"> law, jurisdiction, and venue</w:t>
      </w:r>
    </w:p>
    <w:p w14:paraId="7E65204C" w14:textId="77777777" w:rsidR="0084050F" w:rsidRPr="008F20DC" w:rsidRDefault="0084050F" w:rsidP="0084050F">
      <w:pPr>
        <w:tabs>
          <w:tab w:val="left" w:pos="0"/>
          <w:tab w:val="left" w:pos="360"/>
          <w:tab w:val="left" w:pos="1008"/>
          <w:tab w:val="left" w:pos="1260"/>
          <w:tab w:val="left" w:pos="1440"/>
          <w:tab w:val="left" w:pos="1800"/>
        </w:tabs>
        <w:ind w:left="360"/>
        <w:rPr>
          <w:rFonts w:ascii="Arial" w:hAnsi="Arial" w:cs="Arial"/>
        </w:rPr>
      </w:pPr>
      <w:r w:rsidRPr="008F20DC">
        <w:rPr>
          <w:rFonts w:ascii="Arial" w:hAnsi="Arial" w:cs="Arial"/>
        </w:rPr>
        <w:t>Minnesota law, without regard to its choice-of-law provisions, governs this grant agreement. Venue for all legal proceedings out of this grant agreement, or its breach, must be in the appropriate state or federal court with competent jurisdiction in Ramsey County, Minnesota.</w:t>
      </w:r>
    </w:p>
    <w:p w14:paraId="0894F19C" w14:textId="77777777" w:rsidR="0084050F" w:rsidRPr="008F20DC" w:rsidRDefault="0084050F" w:rsidP="00272A17">
      <w:pPr>
        <w:keepNext/>
        <w:keepLines/>
        <w:widowControl w:val="0"/>
        <w:numPr>
          <w:ilvl w:val="0"/>
          <w:numId w:val="6"/>
        </w:numPr>
        <w:autoSpaceDE w:val="0"/>
        <w:autoSpaceDN w:val="0"/>
        <w:adjustRightInd w:val="0"/>
        <w:spacing w:before="120"/>
        <w:outlineLvl w:val="0"/>
        <w:rPr>
          <w:rFonts w:ascii="Arial" w:hAnsi="Arial" w:cs="Arial"/>
          <w:bCs/>
        </w:rPr>
      </w:pPr>
      <w:r>
        <w:rPr>
          <w:rFonts w:ascii="Arial" w:hAnsi="Arial" w:cs="Arial"/>
          <w:b/>
          <w:bCs/>
        </w:rPr>
        <w:t>Termination</w:t>
      </w:r>
    </w:p>
    <w:p w14:paraId="1506B069" w14:textId="77777777" w:rsidR="00653BBA" w:rsidRPr="00653BBA" w:rsidRDefault="00653BBA" w:rsidP="00653BBA">
      <w:pPr>
        <w:pStyle w:val="ListParagraph"/>
        <w:numPr>
          <w:ilvl w:val="0"/>
          <w:numId w:val="27"/>
        </w:numPr>
        <w:tabs>
          <w:tab w:val="left" w:pos="900"/>
        </w:tabs>
        <w:rPr>
          <w:rFonts w:ascii="Arial" w:hAnsi="Arial" w:cs="Arial"/>
          <w:b/>
          <w:i/>
          <w:vanish/>
        </w:rPr>
      </w:pPr>
    </w:p>
    <w:p w14:paraId="6FA1A2BE" w14:textId="77777777" w:rsidR="00653BBA" w:rsidRPr="00653BBA" w:rsidRDefault="00653BBA" w:rsidP="00653BBA">
      <w:pPr>
        <w:pStyle w:val="ListParagraph"/>
        <w:numPr>
          <w:ilvl w:val="0"/>
          <w:numId w:val="27"/>
        </w:numPr>
        <w:tabs>
          <w:tab w:val="left" w:pos="900"/>
        </w:tabs>
        <w:rPr>
          <w:rFonts w:ascii="Arial" w:hAnsi="Arial" w:cs="Arial"/>
          <w:b/>
          <w:i/>
          <w:vanish/>
        </w:rPr>
      </w:pPr>
    </w:p>
    <w:p w14:paraId="75601AB3" w14:textId="77777777" w:rsidR="00653BBA" w:rsidRPr="00653BBA" w:rsidRDefault="00653BBA" w:rsidP="00653BBA">
      <w:pPr>
        <w:pStyle w:val="ListParagraph"/>
        <w:numPr>
          <w:ilvl w:val="0"/>
          <w:numId w:val="27"/>
        </w:numPr>
        <w:tabs>
          <w:tab w:val="left" w:pos="900"/>
        </w:tabs>
        <w:rPr>
          <w:rFonts w:ascii="Arial" w:hAnsi="Arial" w:cs="Arial"/>
          <w:b/>
          <w:i/>
          <w:vanish/>
        </w:rPr>
      </w:pPr>
    </w:p>
    <w:p w14:paraId="724CE2F8" w14:textId="26ED36E8" w:rsidR="00653BBA" w:rsidRPr="0006291F" w:rsidRDefault="00653BBA" w:rsidP="00653BBA">
      <w:pPr>
        <w:pStyle w:val="ListParagraph"/>
        <w:numPr>
          <w:ilvl w:val="1"/>
          <w:numId w:val="27"/>
        </w:numPr>
        <w:tabs>
          <w:tab w:val="left" w:pos="900"/>
        </w:tabs>
        <w:ind w:left="900" w:hanging="540"/>
        <w:rPr>
          <w:rFonts w:ascii="Arial" w:hAnsi="Arial" w:cs="Arial"/>
        </w:rPr>
      </w:pPr>
      <w:r w:rsidRPr="0006291F">
        <w:rPr>
          <w:rFonts w:ascii="Arial" w:hAnsi="Arial" w:cs="Arial"/>
          <w:b/>
          <w:i/>
        </w:rPr>
        <w:t xml:space="preserve">Termination by the State. </w:t>
      </w:r>
    </w:p>
    <w:p w14:paraId="0AAC2953" w14:textId="77777777" w:rsidR="00653BBA" w:rsidRPr="0006291F" w:rsidRDefault="00653BBA" w:rsidP="00653BBA">
      <w:pPr>
        <w:pStyle w:val="ListParagraph"/>
        <w:widowControl w:val="0"/>
        <w:numPr>
          <w:ilvl w:val="0"/>
          <w:numId w:val="28"/>
        </w:numPr>
        <w:tabs>
          <w:tab w:val="left" w:pos="900"/>
        </w:tabs>
        <w:autoSpaceDE w:val="0"/>
        <w:autoSpaceDN w:val="0"/>
        <w:adjustRightInd w:val="0"/>
        <w:ind w:left="1260"/>
        <w:rPr>
          <w:rFonts w:ascii="Arial" w:hAnsi="Arial" w:cs="Arial"/>
        </w:rPr>
      </w:pPr>
      <w:r w:rsidRPr="0006291F">
        <w:rPr>
          <w:rFonts w:ascii="Arial" w:hAnsi="Arial" w:cs="Arial"/>
          <w:b/>
          <w:bCs/>
          <w:i/>
          <w:iCs/>
        </w:rPr>
        <w:t xml:space="preserve">Without Cause. </w:t>
      </w:r>
      <w:r w:rsidRPr="0006291F">
        <w:rPr>
          <w:rFonts w:ascii="Arial" w:hAnsi="Arial" w:cs="Arial"/>
        </w:rPr>
        <w:t>The State may immediately terminate this grant agreement without cause, upon 30-days’ written notice to the Grantee. Upon termination, the Grantee will be entitled to payment, determined on a pro rata basis, for services satisfactorily performed.</w:t>
      </w:r>
    </w:p>
    <w:p w14:paraId="09BA17EB" w14:textId="77777777" w:rsidR="00653BBA" w:rsidRPr="0006291F" w:rsidRDefault="00653BBA" w:rsidP="00653BBA">
      <w:pPr>
        <w:pStyle w:val="ListParagraph"/>
        <w:widowControl w:val="0"/>
        <w:numPr>
          <w:ilvl w:val="0"/>
          <w:numId w:val="28"/>
        </w:numPr>
        <w:tabs>
          <w:tab w:val="left" w:pos="900"/>
        </w:tabs>
        <w:autoSpaceDE w:val="0"/>
        <w:autoSpaceDN w:val="0"/>
        <w:adjustRightInd w:val="0"/>
        <w:ind w:left="1260"/>
        <w:rPr>
          <w:rFonts w:ascii="Arial" w:hAnsi="Arial" w:cs="Arial"/>
        </w:rPr>
      </w:pPr>
      <w:r w:rsidRPr="0006291F">
        <w:rPr>
          <w:rFonts w:ascii="Arial" w:hAnsi="Arial" w:cs="Arial"/>
          <w:b/>
          <w:bCs/>
          <w:i/>
          <w:iCs/>
        </w:rPr>
        <w:t xml:space="preserve">With Cause. </w:t>
      </w:r>
      <w:r w:rsidRPr="0006291F">
        <w:rPr>
          <w:rFonts w:ascii="Arial" w:hAnsi="Arial" w:cs="Arial"/>
          <w:bCs/>
        </w:rPr>
        <w:t>The State may immediately terminate this grant agreement i</w:t>
      </w:r>
      <w:r w:rsidRPr="0006291F">
        <w:rPr>
          <w:rFonts w:ascii="Arial" w:hAnsi="Arial" w:cs="Arial"/>
        </w:rPr>
        <w:t>f the State finds that there has been a failure to comply with the provisions of this grant agreement, that reasonable progress has not been made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43343FC7" w14:textId="77777777" w:rsidR="00653BBA" w:rsidRPr="0006291F" w:rsidRDefault="00653BBA" w:rsidP="00653BBA">
      <w:pPr>
        <w:pStyle w:val="ListParagraph"/>
        <w:numPr>
          <w:ilvl w:val="1"/>
          <w:numId w:val="27"/>
        </w:numPr>
        <w:tabs>
          <w:tab w:val="left" w:pos="900"/>
        </w:tabs>
        <w:ind w:left="900" w:hanging="540"/>
        <w:rPr>
          <w:rFonts w:ascii="Arial" w:hAnsi="Arial" w:cs="Arial"/>
        </w:rPr>
      </w:pPr>
      <w:r w:rsidRPr="0006291F">
        <w:rPr>
          <w:rFonts w:ascii="Arial" w:hAnsi="Arial" w:cs="Arial"/>
          <w:b/>
          <w:i/>
        </w:rPr>
        <w:t xml:space="preserve">Termination by The Commissioner of Administration. </w:t>
      </w:r>
      <w:r w:rsidRPr="0006291F">
        <w:rPr>
          <w:rFonts w:ascii="Arial" w:hAnsi="Arial" w:cs="Arial"/>
          <w:bCs/>
        </w:rPr>
        <w:t>The Commissioner of Administration may immediately and unilaterally cancel this grant contract agreement if further performance under the agreement would not serve agency purposes or is not in the best interest of the State</w:t>
      </w:r>
      <w:r w:rsidRPr="0006291F">
        <w:rPr>
          <w:rFonts w:ascii="Arial" w:hAnsi="Arial" w:cs="Arial"/>
        </w:rPr>
        <w:t>.</w:t>
      </w:r>
    </w:p>
    <w:p w14:paraId="504267FD" w14:textId="77777777" w:rsidR="00653BBA" w:rsidRPr="00653BBA" w:rsidRDefault="00653BBA" w:rsidP="00653BBA">
      <w:pPr>
        <w:pStyle w:val="ListParagraph"/>
        <w:widowControl w:val="0"/>
        <w:numPr>
          <w:ilvl w:val="0"/>
          <w:numId w:val="2"/>
        </w:numPr>
        <w:tabs>
          <w:tab w:val="left" w:pos="900"/>
        </w:tabs>
        <w:autoSpaceDE w:val="0"/>
        <w:autoSpaceDN w:val="0"/>
        <w:adjustRightInd w:val="0"/>
        <w:spacing w:before="120"/>
        <w:contextualSpacing w:val="0"/>
        <w:rPr>
          <w:rFonts w:ascii="Arial" w:hAnsi="Arial" w:cs="Arial"/>
          <w:b/>
          <w:i/>
          <w:vanish/>
        </w:rPr>
      </w:pPr>
    </w:p>
    <w:p w14:paraId="69AEA26D" w14:textId="77777777" w:rsidR="00653BBA" w:rsidRPr="00653BBA" w:rsidRDefault="00653BBA" w:rsidP="00653BBA">
      <w:pPr>
        <w:pStyle w:val="ListParagraph"/>
        <w:widowControl w:val="0"/>
        <w:numPr>
          <w:ilvl w:val="0"/>
          <w:numId w:val="2"/>
        </w:numPr>
        <w:tabs>
          <w:tab w:val="left" w:pos="900"/>
        </w:tabs>
        <w:autoSpaceDE w:val="0"/>
        <w:autoSpaceDN w:val="0"/>
        <w:adjustRightInd w:val="0"/>
        <w:spacing w:before="120"/>
        <w:contextualSpacing w:val="0"/>
        <w:rPr>
          <w:rFonts w:ascii="Arial" w:hAnsi="Arial" w:cs="Arial"/>
          <w:b/>
          <w:i/>
          <w:vanish/>
        </w:rPr>
      </w:pPr>
    </w:p>
    <w:p w14:paraId="1456C697" w14:textId="77777777" w:rsidR="00653BBA" w:rsidRPr="00653BBA" w:rsidRDefault="00653BBA" w:rsidP="00653BBA">
      <w:pPr>
        <w:pStyle w:val="ListParagraph"/>
        <w:widowControl w:val="0"/>
        <w:numPr>
          <w:ilvl w:val="1"/>
          <w:numId w:val="2"/>
        </w:numPr>
        <w:tabs>
          <w:tab w:val="left" w:pos="900"/>
        </w:tabs>
        <w:autoSpaceDE w:val="0"/>
        <w:autoSpaceDN w:val="0"/>
        <w:adjustRightInd w:val="0"/>
        <w:spacing w:before="120"/>
        <w:contextualSpacing w:val="0"/>
        <w:rPr>
          <w:rFonts w:ascii="Arial" w:hAnsi="Arial" w:cs="Arial"/>
          <w:b/>
          <w:i/>
          <w:vanish/>
        </w:rPr>
      </w:pPr>
    </w:p>
    <w:p w14:paraId="76BF53AB" w14:textId="77777777" w:rsidR="00653BBA" w:rsidRPr="00653BBA" w:rsidRDefault="00653BBA" w:rsidP="00653BBA">
      <w:pPr>
        <w:pStyle w:val="ListParagraph"/>
        <w:widowControl w:val="0"/>
        <w:numPr>
          <w:ilvl w:val="1"/>
          <w:numId w:val="2"/>
        </w:numPr>
        <w:tabs>
          <w:tab w:val="left" w:pos="900"/>
        </w:tabs>
        <w:autoSpaceDE w:val="0"/>
        <w:autoSpaceDN w:val="0"/>
        <w:adjustRightInd w:val="0"/>
        <w:spacing w:before="120"/>
        <w:contextualSpacing w:val="0"/>
        <w:rPr>
          <w:rFonts w:ascii="Arial" w:hAnsi="Arial" w:cs="Arial"/>
          <w:b/>
          <w:i/>
          <w:vanish/>
        </w:rPr>
      </w:pPr>
    </w:p>
    <w:p w14:paraId="7BD70206" w14:textId="77777777" w:rsidR="0084050F" w:rsidRPr="008F20DC" w:rsidRDefault="0084050F" w:rsidP="0084050F">
      <w:pPr>
        <w:keepNext/>
        <w:widowControl w:val="0"/>
        <w:numPr>
          <w:ilvl w:val="0"/>
          <w:numId w:val="6"/>
        </w:numPr>
        <w:autoSpaceDE w:val="0"/>
        <w:autoSpaceDN w:val="0"/>
        <w:adjustRightInd w:val="0"/>
        <w:spacing w:before="120"/>
        <w:outlineLvl w:val="0"/>
        <w:rPr>
          <w:rFonts w:ascii="Arial" w:hAnsi="Arial" w:cs="Arial"/>
        </w:rPr>
      </w:pPr>
      <w:r w:rsidRPr="008F20DC">
        <w:rPr>
          <w:rFonts w:ascii="Arial" w:hAnsi="Arial" w:cs="Arial"/>
          <w:b/>
          <w:bCs/>
        </w:rPr>
        <w:t>Data disclosure</w:t>
      </w:r>
    </w:p>
    <w:p w14:paraId="49FB04DB" w14:textId="77777777" w:rsidR="00653BBA" w:rsidRPr="00653BBA" w:rsidRDefault="00653BBA" w:rsidP="00653BBA">
      <w:pPr>
        <w:pStyle w:val="ListParagraph"/>
        <w:ind w:left="360"/>
        <w:rPr>
          <w:rFonts w:ascii="Arial" w:hAnsi="Arial" w:cs="Arial"/>
        </w:rPr>
      </w:pPr>
      <w:r w:rsidRPr="00653BBA">
        <w:rPr>
          <w:rFonts w:ascii="Arial" w:hAnsi="Arial" w:cs="Arial"/>
          <w:color w:val="000000"/>
        </w:rPr>
        <w:t xml:space="preserve">Under </w:t>
      </w:r>
      <w:hyperlink r:id="rId16" w:history="1">
        <w:r w:rsidRPr="00653BBA">
          <w:rPr>
            <w:rFonts w:ascii="Arial" w:hAnsi="Arial" w:cs="Arial"/>
            <w:color w:val="0000FF"/>
            <w:u w:val="single"/>
          </w:rPr>
          <w:t>Minn. Stat. § 270C.65</w:t>
        </w:r>
      </w:hyperlink>
      <w:r w:rsidRPr="00653BBA">
        <w:rPr>
          <w:rFonts w:ascii="Arial" w:hAnsi="Arial" w:cs="Arial"/>
          <w:color w:val="000000"/>
        </w:rPr>
        <w:t>,</w:t>
      </w:r>
      <w:r w:rsidRPr="00653BBA">
        <w:rPr>
          <w:rFonts w:ascii="Arial" w:hAnsi="Arial" w:cs="Arial"/>
        </w:rPr>
        <w:t xml:space="preserve"> subd. 3, and other applicable law, the Grantee consents to disclosure of its social security number, federal employer tax identification number, and/or Minnesota tax identification number, already provided to the State, to federal and state tax agencies and state personnel involved in the payment of state obligations. These identification numbers may be used in the enforce</w:t>
      </w:r>
      <w:r w:rsidRPr="00653BBA">
        <w:rPr>
          <w:rFonts w:ascii="Arial" w:hAnsi="Arial" w:cs="Arial"/>
        </w:rPr>
        <w:softHyphen/>
        <w:t xml:space="preserve">ment of federal and state tax laws which could result in action requiring the Grantee to file state tax returns and pay delinquent state tax liabilities, if any. </w:t>
      </w:r>
    </w:p>
    <w:p w14:paraId="3DF632F0" w14:textId="77777777" w:rsidR="00653BBA" w:rsidRPr="00653BBA" w:rsidRDefault="00653BBA" w:rsidP="00653BBA">
      <w:pPr>
        <w:pStyle w:val="ListParagraph"/>
        <w:ind w:left="360"/>
        <w:rPr>
          <w:rFonts w:ascii="Arial" w:hAnsi="Arial" w:cs="Arial"/>
        </w:rPr>
      </w:pPr>
    </w:p>
    <w:p w14:paraId="02014D5F" w14:textId="290CE406" w:rsidR="0084050F" w:rsidRPr="00653BBA" w:rsidRDefault="00653BBA" w:rsidP="00653BBA">
      <w:pPr>
        <w:pStyle w:val="ListParagraph"/>
        <w:spacing w:before="120"/>
        <w:ind w:left="360"/>
        <w:rPr>
          <w:rFonts w:ascii="Arial" w:hAnsi="Arial" w:cs="Arial"/>
        </w:rPr>
      </w:pPr>
      <w:r w:rsidRPr="00653BBA">
        <w:rPr>
          <w:rFonts w:ascii="Arial" w:hAnsi="Arial" w:cs="Arial"/>
        </w:rPr>
        <w:t>To protect Grantee’s personal data, Grantee is strongly encouraged to obtain and use a Minnesota tax identification number</w:t>
      </w:r>
      <w:r w:rsidR="0084050F" w:rsidRPr="00653BBA">
        <w:rPr>
          <w:rFonts w:ascii="Arial" w:hAnsi="Arial" w:cs="Arial"/>
        </w:rPr>
        <w:t>.</w:t>
      </w:r>
    </w:p>
    <w:p w14:paraId="3D5DB933" w14:textId="01C555FC" w:rsidR="0042074C" w:rsidRDefault="0042074C">
      <w:pPr>
        <w:spacing w:after="160" w:line="259" w:lineRule="auto"/>
        <w:rPr>
          <w:rFonts w:ascii="Arial" w:hAnsi="Arial" w:cs="Arial"/>
        </w:rPr>
      </w:pPr>
      <w:r>
        <w:rPr>
          <w:rFonts w:ascii="Arial" w:hAnsi="Arial" w:cs="Arial"/>
        </w:rPr>
        <w:br w:type="page"/>
      </w:r>
    </w:p>
    <w:p w14:paraId="0F9FE9A6" w14:textId="5F1361D8" w:rsidR="0042074C" w:rsidRDefault="0042074C" w:rsidP="0042074C">
      <w:pPr>
        <w:ind w:left="360"/>
        <w:jc w:val="center"/>
        <w:rPr>
          <w:rFonts w:ascii="Arial" w:hAnsi="Arial" w:cs="Arial"/>
          <w:b/>
          <w:bCs/>
        </w:rPr>
      </w:pPr>
      <w:r w:rsidRPr="0042074C">
        <w:rPr>
          <w:rFonts w:ascii="Arial" w:hAnsi="Arial" w:cs="Arial"/>
          <w:b/>
          <w:bCs/>
        </w:rPr>
        <w:lastRenderedPageBreak/>
        <w:t>Exhibit A: Insurance Requirements</w:t>
      </w:r>
    </w:p>
    <w:p w14:paraId="059D8C9D" w14:textId="77777777" w:rsidR="0042074C" w:rsidRPr="0042074C" w:rsidRDefault="0042074C" w:rsidP="0042074C">
      <w:pPr>
        <w:ind w:left="360"/>
        <w:jc w:val="center"/>
        <w:rPr>
          <w:rFonts w:ascii="Arial" w:hAnsi="Arial" w:cs="Arial"/>
          <w:b/>
          <w:bCs/>
        </w:rPr>
      </w:pPr>
    </w:p>
    <w:p w14:paraId="04D33A5C" w14:textId="77777777" w:rsidR="0042074C" w:rsidRPr="0042074C" w:rsidRDefault="0042074C" w:rsidP="0042074C">
      <w:pPr>
        <w:ind w:left="360"/>
        <w:rPr>
          <w:rFonts w:ascii="Arial" w:hAnsi="Arial" w:cs="Arial"/>
          <w:b/>
          <w:bCs/>
        </w:rPr>
      </w:pPr>
      <w:r w:rsidRPr="0042074C">
        <w:rPr>
          <w:rFonts w:ascii="Arial" w:hAnsi="Arial" w:cs="Arial"/>
          <w:b/>
          <w:bCs/>
        </w:rPr>
        <w:t>1.</w:t>
      </w:r>
      <w:r w:rsidRPr="0042074C">
        <w:rPr>
          <w:rFonts w:ascii="Arial" w:hAnsi="Arial" w:cs="Arial"/>
          <w:b/>
          <w:bCs/>
        </w:rPr>
        <w:tab/>
        <w:t>Notice to Grantee</w:t>
      </w:r>
    </w:p>
    <w:p w14:paraId="36727F9D" w14:textId="77777777" w:rsidR="0042074C" w:rsidRPr="0042074C" w:rsidRDefault="0042074C" w:rsidP="0042074C">
      <w:pPr>
        <w:ind w:left="1170" w:hanging="450"/>
        <w:rPr>
          <w:rFonts w:ascii="Arial" w:hAnsi="Arial" w:cs="Arial"/>
        </w:rPr>
      </w:pPr>
      <w:r w:rsidRPr="0042074C">
        <w:rPr>
          <w:rFonts w:ascii="Arial" w:hAnsi="Arial" w:cs="Arial"/>
        </w:rPr>
        <w:t>1.1</w:t>
      </w:r>
      <w:r w:rsidRPr="0042074C">
        <w:rPr>
          <w:rFonts w:ascii="Arial" w:hAnsi="Arial" w:cs="Arial"/>
        </w:rPr>
        <w:tab/>
        <w:t>The Grantee is required to submit Certificates of Insurance acceptable to the State as evidence of insurance coverage requirements prior to commencing work under this Agreement.</w:t>
      </w:r>
    </w:p>
    <w:p w14:paraId="6196799B" w14:textId="77777777" w:rsidR="0042074C" w:rsidRPr="0042074C" w:rsidRDefault="0042074C" w:rsidP="0042074C">
      <w:pPr>
        <w:ind w:left="1170" w:hanging="450"/>
        <w:rPr>
          <w:rFonts w:ascii="Arial" w:hAnsi="Arial" w:cs="Arial"/>
        </w:rPr>
      </w:pPr>
      <w:r w:rsidRPr="0042074C">
        <w:rPr>
          <w:rFonts w:ascii="Arial" w:hAnsi="Arial" w:cs="Arial"/>
        </w:rPr>
        <w:t>1.2</w:t>
      </w:r>
      <w:r w:rsidRPr="0042074C">
        <w:rPr>
          <w:rFonts w:ascii="Arial" w:hAnsi="Arial" w:cs="Arial"/>
        </w:rPr>
        <w:tab/>
        <w:t>Grantee shall not commence work under the Agreement until they have obtained all the insurance described below and the State has approved such insurance. Grantee shall maintain such insurance in force and effect throughout the term of this Agreement.</w:t>
      </w:r>
    </w:p>
    <w:p w14:paraId="64C42BC3" w14:textId="77777777" w:rsidR="0042074C" w:rsidRPr="0042074C" w:rsidRDefault="0042074C" w:rsidP="0042074C">
      <w:pPr>
        <w:ind w:left="1170" w:hanging="450"/>
        <w:rPr>
          <w:rFonts w:ascii="Arial" w:hAnsi="Arial" w:cs="Arial"/>
        </w:rPr>
      </w:pPr>
      <w:r w:rsidRPr="0042074C">
        <w:rPr>
          <w:rFonts w:ascii="Arial" w:hAnsi="Arial" w:cs="Arial"/>
        </w:rPr>
        <w:t>1.3</w:t>
      </w:r>
      <w:r w:rsidRPr="0042074C">
        <w:rPr>
          <w:rFonts w:ascii="Arial" w:hAnsi="Arial" w:cs="Arial"/>
        </w:rPr>
        <w:tab/>
        <w:t>The failure of the Grantee to provide a Certificate of Insurance, for the policies required under this Agreement or renewals thereof, or failure of the insurance company to notify the State of the cancellation of policies required under this Agreement shall not constitute a waiver by the State to the Grantee to provide such insurance.</w:t>
      </w:r>
    </w:p>
    <w:p w14:paraId="54CFCCBA" w14:textId="7FFB1D61" w:rsidR="0042074C" w:rsidRDefault="0042074C" w:rsidP="0042074C">
      <w:pPr>
        <w:ind w:left="1170" w:hanging="450"/>
        <w:rPr>
          <w:rFonts w:ascii="Arial" w:hAnsi="Arial" w:cs="Arial"/>
        </w:rPr>
      </w:pPr>
      <w:r w:rsidRPr="0042074C">
        <w:rPr>
          <w:rFonts w:ascii="Arial" w:hAnsi="Arial" w:cs="Arial"/>
        </w:rPr>
        <w:t>1.4</w:t>
      </w:r>
      <w:r w:rsidRPr="0042074C">
        <w:rPr>
          <w:rFonts w:ascii="Arial" w:hAnsi="Arial" w:cs="Arial"/>
        </w:rPr>
        <w:tab/>
        <w:t>The State reserves the right to immediately terminate this Agreement if the Grantee is not in compliance with the insurance requirements and retains all rights to pursue any legal remedies against the Grantee. All insurance policies must be open to inspection by the State, and copies of policies must be submitted to the State’s Authorized Representative upon written request.</w:t>
      </w:r>
    </w:p>
    <w:p w14:paraId="42EDE332" w14:textId="77777777" w:rsidR="0042074C" w:rsidRPr="0042074C" w:rsidRDefault="0042074C" w:rsidP="007E4F5F">
      <w:pPr>
        <w:spacing w:before="120"/>
        <w:ind w:left="360"/>
        <w:rPr>
          <w:rFonts w:ascii="Arial" w:hAnsi="Arial" w:cs="Arial"/>
          <w:b/>
          <w:bCs/>
        </w:rPr>
      </w:pPr>
      <w:r w:rsidRPr="0042074C">
        <w:rPr>
          <w:rFonts w:ascii="Arial" w:hAnsi="Arial" w:cs="Arial"/>
          <w:b/>
          <w:bCs/>
        </w:rPr>
        <w:t>2.</w:t>
      </w:r>
      <w:r w:rsidRPr="0042074C">
        <w:rPr>
          <w:rFonts w:ascii="Arial" w:hAnsi="Arial" w:cs="Arial"/>
          <w:b/>
          <w:bCs/>
        </w:rPr>
        <w:tab/>
        <w:t>Notice to Insurer</w:t>
      </w:r>
    </w:p>
    <w:p w14:paraId="3B31D705" w14:textId="77777777" w:rsidR="0042074C" w:rsidRPr="0042074C" w:rsidRDefault="0042074C" w:rsidP="0042074C">
      <w:pPr>
        <w:ind w:left="1170" w:hanging="450"/>
        <w:rPr>
          <w:rFonts w:ascii="Arial" w:hAnsi="Arial" w:cs="Arial"/>
        </w:rPr>
      </w:pPr>
      <w:r w:rsidRPr="0042074C">
        <w:rPr>
          <w:rFonts w:ascii="Arial" w:hAnsi="Arial" w:cs="Arial"/>
        </w:rPr>
        <w:t>2.1</w:t>
      </w:r>
      <w:r w:rsidRPr="0042074C">
        <w:rPr>
          <w:rFonts w:ascii="Arial" w:hAnsi="Arial" w:cs="Arial"/>
        </w:rPr>
        <w:tab/>
        <w:t>The Grantee’s insurance company(ies) waives its right to assert the immunity of the State as a defense to any claims made under said insurance.</w:t>
      </w:r>
    </w:p>
    <w:p w14:paraId="0212BD34" w14:textId="77777777" w:rsidR="0042074C" w:rsidRPr="0042074C" w:rsidRDefault="0042074C" w:rsidP="0042074C">
      <w:pPr>
        <w:ind w:left="1170" w:hanging="450"/>
        <w:rPr>
          <w:rFonts w:ascii="Arial" w:hAnsi="Arial" w:cs="Arial"/>
        </w:rPr>
      </w:pPr>
      <w:r w:rsidRPr="0042074C">
        <w:rPr>
          <w:rFonts w:ascii="Arial" w:hAnsi="Arial" w:cs="Arial"/>
        </w:rPr>
        <w:t>2.2</w:t>
      </w:r>
      <w:r w:rsidRPr="0042074C">
        <w:rPr>
          <w:rFonts w:ascii="Arial" w:hAnsi="Arial" w:cs="Arial"/>
        </w:rPr>
        <w:tab/>
        <w:t xml:space="preserve">Insurance certificate holder should be addressed as follows: </w:t>
      </w:r>
    </w:p>
    <w:p w14:paraId="23F113F6" w14:textId="77777777" w:rsidR="0042074C" w:rsidRPr="0042074C" w:rsidRDefault="0042074C" w:rsidP="0042074C">
      <w:pPr>
        <w:ind w:left="1170"/>
        <w:rPr>
          <w:rFonts w:ascii="Arial" w:hAnsi="Arial" w:cs="Arial"/>
        </w:rPr>
      </w:pPr>
      <w:r w:rsidRPr="0042074C">
        <w:rPr>
          <w:rFonts w:ascii="Arial" w:hAnsi="Arial" w:cs="Arial"/>
        </w:rPr>
        <w:t>MPCA</w:t>
      </w:r>
    </w:p>
    <w:p w14:paraId="72979451" w14:textId="77777777" w:rsidR="0042074C" w:rsidRPr="0042074C" w:rsidRDefault="0042074C" w:rsidP="0042074C">
      <w:pPr>
        <w:ind w:left="1170"/>
        <w:rPr>
          <w:rFonts w:ascii="Arial" w:hAnsi="Arial" w:cs="Arial"/>
        </w:rPr>
      </w:pPr>
      <w:r w:rsidRPr="0042074C">
        <w:rPr>
          <w:rFonts w:ascii="Arial" w:hAnsi="Arial" w:cs="Arial"/>
        </w:rPr>
        <w:t>520 Lafayette Road N</w:t>
      </w:r>
    </w:p>
    <w:p w14:paraId="3C21D100" w14:textId="030A0508" w:rsidR="0042074C" w:rsidRDefault="0042074C" w:rsidP="0042074C">
      <w:pPr>
        <w:ind w:left="1170"/>
        <w:rPr>
          <w:rFonts w:ascii="Arial" w:hAnsi="Arial" w:cs="Arial"/>
        </w:rPr>
      </w:pPr>
      <w:r w:rsidRPr="0042074C">
        <w:rPr>
          <w:rFonts w:ascii="Arial" w:hAnsi="Arial" w:cs="Arial"/>
        </w:rPr>
        <w:t>St. Paul, MN 55155</w:t>
      </w:r>
    </w:p>
    <w:p w14:paraId="785BC44A" w14:textId="77777777" w:rsidR="0042074C" w:rsidRPr="0024786A" w:rsidRDefault="0042074C" w:rsidP="007E4F5F">
      <w:pPr>
        <w:spacing w:before="120"/>
        <w:ind w:left="720" w:hanging="360"/>
        <w:rPr>
          <w:rFonts w:ascii="Arial" w:hAnsi="Arial" w:cs="Arial"/>
          <w:b/>
          <w:bCs/>
        </w:rPr>
      </w:pPr>
      <w:r w:rsidRPr="0024786A">
        <w:rPr>
          <w:rFonts w:ascii="Arial" w:hAnsi="Arial" w:cs="Arial"/>
          <w:b/>
          <w:bCs/>
        </w:rPr>
        <w:t>3.</w:t>
      </w:r>
      <w:r w:rsidRPr="0024786A">
        <w:rPr>
          <w:rFonts w:ascii="Arial" w:hAnsi="Arial" w:cs="Arial"/>
          <w:b/>
          <w:bCs/>
        </w:rPr>
        <w:tab/>
        <w:t>Additional Insurance Conditions. The following apply to the Grantee, or the Grantee’s subcontractor:</w:t>
      </w:r>
    </w:p>
    <w:p w14:paraId="73863C2C" w14:textId="77777777" w:rsidR="0042074C" w:rsidRPr="0042074C" w:rsidRDefault="0042074C" w:rsidP="0024786A">
      <w:pPr>
        <w:ind w:left="1170" w:hanging="450"/>
        <w:rPr>
          <w:rFonts w:ascii="Arial" w:hAnsi="Arial" w:cs="Arial"/>
        </w:rPr>
      </w:pPr>
      <w:r w:rsidRPr="0042074C">
        <w:rPr>
          <w:rFonts w:ascii="Arial" w:hAnsi="Arial" w:cs="Arial"/>
        </w:rPr>
        <w:t>3.1</w:t>
      </w:r>
      <w:r w:rsidRPr="0042074C">
        <w:rPr>
          <w:rFonts w:ascii="Arial" w:hAnsi="Arial" w:cs="Arial"/>
        </w:rPr>
        <w:tab/>
        <w:t>Grantee’s policy(ies) shall be primary insurance to any other valid and collectible insurance available to the State with respect to any claim arising out of Grantee’s performance under this Agreement.</w:t>
      </w:r>
    </w:p>
    <w:p w14:paraId="7FBF5665" w14:textId="77777777" w:rsidR="0042074C" w:rsidRPr="0042074C" w:rsidRDefault="0042074C" w:rsidP="0042074C">
      <w:pPr>
        <w:ind w:left="1170" w:hanging="450"/>
        <w:rPr>
          <w:rFonts w:ascii="Arial" w:hAnsi="Arial" w:cs="Arial"/>
        </w:rPr>
      </w:pPr>
      <w:r w:rsidRPr="0042074C">
        <w:rPr>
          <w:rFonts w:ascii="Arial" w:hAnsi="Arial" w:cs="Arial"/>
        </w:rPr>
        <w:t>3.2</w:t>
      </w:r>
      <w:r w:rsidRPr="0042074C">
        <w:rPr>
          <w:rFonts w:ascii="Arial" w:hAnsi="Arial" w:cs="Arial"/>
        </w:rPr>
        <w:tab/>
        <w:t xml:space="preserve">If Grantee receives a cancellation notice from an insurance carrier affording coverage herein, Grantee agrees to notify the State within five (5) business days with a copy of the cancellation notice, unless Grantee’s policy(ies) contain a provision that coverage afforded under the policy(ies) will not be cancelled without at least thirty (30) days advance written notice to the State; </w:t>
      </w:r>
    </w:p>
    <w:p w14:paraId="6A626EFA" w14:textId="77777777" w:rsidR="0042074C" w:rsidRPr="0042074C" w:rsidRDefault="0042074C" w:rsidP="0042074C">
      <w:pPr>
        <w:ind w:left="1170" w:hanging="450"/>
        <w:rPr>
          <w:rFonts w:ascii="Arial" w:hAnsi="Arial" w:cs="Arial"/>
        </w:rPr>
      </w:pPr>
      <w:r w:rsidRPr="0042074C">
        <w:rPr>
          <w:rFonts w:ascii="Arial" w:hAnsi="Arial" w:cs="Arial"/>
        </w:rPr>
        <w:t>3.3</w:t>
      </w:r>
      <w:r w:rsidRPr="0042074C">
        <w:rPr>
          <w:rFonts w:ascii="Arial" w:hAnsi="Arial" w:cs="Arial"/>
        </w:rPr>
        <w:tab/>
        <w:t>Grantee is responsible for payment of Agreement related insurance premiums and deductibles;</w:t>
      </w:r>
    </w:p>
    <w:p w14:paraId="5D486AA0" w14:textId="77777777" w:rsidR="0042074C" w:rsidRPr="0042074C" w:rsidRDefault="0042074C" w:rsidP="0042074C">
      <w:pPr>
        <w:ind w:left="1170" w:hanging="450"/>
        <w:rPr>
          <w:rFonts w:ascii="Arial" w:hAnsi="Arial" w:cs="Arial"/>
        </w:rPr>
      </w:pPr>
      <w:r w:rsidRPr="0042074C">
        <w:rPr>
          <w:rFonts w:ascii="Arial" w:hAnsi="Arial" w:cs="Arial"/>
        </w:rPr>
        <w:t>3.4</w:t>
      </w:r>
      <w:r w:rsidRPr="0042074C">
        <w:rPr>
          <w:rFonts w:ascii="Arial" w:hAnsi="Arial" w:cs="Arial"/>
        </w:rPr>
        <w:tab/>
        <w:t>If Grantee is self-insured, a Certificate of Self-Insurance must be attached;</w:t>
      </w:r>
    </w:p>
    <w:p w14:paraId="3E2F54FE" w14:textId="77777777" w:rsidR="0042074C" w:rsidRPr="0042074C" w:rsidRDefault="0042074C" w:rsidP="0042074C">
      <w:pPr>
        <w:ind w:left="1170" w:hanging="450"/>
        <w:rPr>
          <w:rFonts w:ascii="Arial" w:hAnsi="Arial" w:cs="Arial"/>
        </w:rPr>
      </w:pPr>
      <w:r w:rsidRPr="0042074C">
        <w:rPr>
          <w:rFonts w:ascii="Arial" w:hAnsi="Arial" w:cs="Arial"/>
        </w:rPr>
        <w:t>3.5</w:t>
      </w:r>
      <w:r w:rsidRPr="0042074C">
        <w:rPr>
          <w:rFonts w:ascii="Arial" w:hAnsi="Arial" w:cs="Arial"/>
        </w:rPr>
        <w:tab/>
        <w:t>Grantee’s policy(ies) shall include legal defense fees in addition to its policy limits with the exception of professional liability.</w:t>
      </w:r>
    </w:p>
    <w:p w14:paraId="38DC5816" w14:textId="77777777" w:rsidR="0042074C" w:rsidRPr="0042074C" w:rsidRDefault="0042074C" w:rsidP="0042074C">
      <w:pPr>
        <w:ind w:left="1170" w:hanging="450"/>
        <w:rPr>
          <w:rFonts w:ascii="Arial" w:hAnsi="Arial" w:cs="Arial"/>
        </w:rPr>
      </w:pPr>
      <w:r w:rsidRPr="0042074C">
        <w:rPr>
          <w:rFonts w:ascii="Arial" w:hAnsi="Arial" w:cs="Arial"/>
        </w:rPr>
        <w:t>3.6</w:t>
      </w:r>
      <w:r w:rsidRPr="0042074C">
        <w:rPr>
          <w:rFonts w:ascii="Arial" w:hAnsi="Arial" w:cs="Arial"/>
        </w:rPr>
        <w:tab/>
        <w:t>Grantee’s insurance companies must either (1) have an AM Best rating of A- (minus) and a Financial Size Category of VII or better, and be authorized to do business in the State of Minnesota or (2) be domiciled in the State of Minnesota and have a Certificate of Authority/Compliance from the Minnesota Department of Commerce if they are not rated by AM Best.</w:t>
      </w:r>
    </w:p>
    <w:p w14:paraId="782C063A" w14:textId="4C6D707C" w:rsidR="0042074C" w:rsidRDefault="0042074C" w:rsidP="0042074C">
      <w:pPr>
        <w:ind w:left="1170" w:hanging="450"/>
        <w:rPr>
          <w:rFonts w:ascii="Arial" w:hAnsi="Arial" w:cs="Arial"/>
        </w:rPr>
      </w:pPr>
      <w:r w:rsidRPr="0042074C">
        <w:rPr>
          <w:rFonts w:ascii="Arial" w:hAnsi="Arial" w:cs="Arial"/>
        </w:rPr>
        <w:t>3.7</w:t>
      </w:r>
      <w:r w:rsidRPr="0042074C">
        <w:rPr>
          <w:rFonts w:ascii="Arial" w:hAnsi="Arial" w:cs="Arial"/>
        </w:rPr>
        <w:tab/>
        <w:t>An Umbrella or Excess Liability insurance policy may be used to supplement the Grantee’s policy limits to satisfy the full policy limits required by the Agreement.</w:t>
      </w:r>
    </w:p>
    <w:p w14:paraId="4BF7CECA" w14:textId="77777777" w:rsidR="0042074C" w:rsidRPr="0042074C" w:rsidRDefault="0042074C" w:rsidP="007E4F5F">
      <w:pPr>
        <w:spacing w:before="120"/>
        <w:ind w:left="720" w:hanging="360"/>
        <w:rPr>
          <w:rFonts w:ascii="Arial" w:hAnsi="Arial" w:cs="Arial"/>
        </w:rPr>
      </w:pPr>
      <w:r w:rsidRPr="0024786A">
        <w:rPr>
          <w:rFonts w:ascii="Arial" w:hAnsi="Arial" w:cs="Arial"/>
          <w:b/>
          <w:bCs/>
        </w:rPr>
        <w:t>4.</w:t>
      </w:r>
      <w:r w:rsidRPr="0024786A">
        <w:rPr>
          <w:rFonts w:ascii="Arial" w:hAnsi="Arial" w:cs="Arial"/>
          <w:b/>
          <w:bCs/>
        </w:rPr>
        <w:tab/>
        <w:t>Coverages. Grantee is required to maintain and furnish satisfactory evidence of the following insurance policies</w:t>
      </w:r>
      <w:r w:rsidRPr="0042074C">
        <w:rPr>
          <w:rFonts w:ascii="Arial" w:hAnsi="Arial" w:cs="Arial"/>
        </w:rPr>
        <w:t>:</w:t>
      </w:r>
    </w:p>
    <w:p w14:paraId="7CC4EEA0" w14:textId="77777777" w:rsidR="0042074C" w:rsidRPr="0042074C" w:rsidRDefault="0042074C" w:rsidP="0024786A">
      <w:pPr>
        <w:ind w:left="1170" w:hanging="450"/>
        <w:rPr>
          <w:rFonts w:ascii="Arial" w:hAnsi="Arial" w:cs="Arial"/>
        </w:rPr>
      </w:pPr>
      <w:r w:rsidRPr="0042074C">
        <w:rPr>
          <w:rFonts w:ascii="Arial" w:hAnsi="Arial" w:cs="Arial"/>
        </w:rPr>
        <w:t>4.1</w:t>
      </w:r>
      <w:r w:rsidRPr="0042074C">
        <w:rPr>
          <w:rFonts w:ascii="Arial" w:hAnsi="Arial" w:cs="Arial"/>
        </w:rPr>
        <w:tab/>
        <w:t>Commercial General Liability Insurance. Grantee is required to maintain insurance protecting it from claims for damages for bodily injury, including sickness or disease, death, and for care and loss of services as well as from claims for property damage, including loss of use which may arise from operations under the Agreement whether the operations are by the Grantee or by a subcontractor or by anyone directly or indirectly employed by the Grantee under the contract. Insurance minimum limits are as follows:</w:t>
      </w:r>
    </w:p>
    <w:p w14:paraId="2A0368C3" w14:textId="77777777" w:rsidR="0042074C" w:rsidRPr="0042074C" w:rsidRDefault="0042074C" w:rsidP="0024786A">
      <w:pPr>
        <w:ind w:left="1620" w:hanging="450"/>
        <w:rPr>
          <w:rFonts w:ascii="Arial" w:hAnsi="Arial" w:cs="Arial"/>
        </w:rPr>
      </w:pPr>
      <w:r w:rsidRPr="0042074C">
        <w:rPr>
          <w:rFonts w:ascii="Arial" w:hAnsi="Arial" w:cs="Arial"/>
        </w:rPr>
        <w:t>$2,000,000 – per occurrence</w:t>
      </w:r>
    </w:p>
    <w:p w14:paraId="5FD6C566" w14:textId="77777777" w:rsidR="0042074C" w:rsidRPr="0042074C" w:rsidRDefault="0042074C" w:rsidP="0024786A">
      <w:pPr>
        <w:ind w:left="1620" w:hanging="450"/>
        <w:rPr>
          <w:rFonts w:ascii="Arial" w:hAnsi="Arial" w:cs="Arial"/>
        </w:rPr>
      </w:pPr>
      <w:r w:rsidRPr="0042074C">
        <w:rPr>
          <w:rFonts w:ascii="Arial" w:hAnsi="Arial" w:cs="Arial"/>
        </w:rPr>
        <w:t>$2,000,000 – annual aggregate</w:t>
      </w:r>
    </w:p>
    <w:p w14:paraId="4D5FBB9C" w14:textId="77777777" w:rsidR="0042074C" w:rsidRPr="0042074C" w:rsidRDefault="0042074C" w:rsidP="0024786A">
      <w:pPr>
        <w:ind w:left="1620" w:hanging="450"/>
        <w:rPr>
          <w:rFonts w:ascii="Arial" w:hAnsi="Arial" w:cs="Arial"/>
        </w:rPr>
      </w:pPr>
      <w:r w:rsidRPr="0042074C">
        <w:rPr>
          <w:rFonts w:ascii="Arial" w:hAnsi="Arial" w:cs="Arial"/>
        </w:rPr>
        <w:t>$2,000,000 – annual aggregate – applying to Products/Completed Operations</w:t>
      </w:r>
    </w:p>
    <w:p w14:paraId="6CAD3C8A" w14:textId="77777777" w:rsidR="0042074C" w:rsidRPr="0042074C" w:rsidRDefault="0042074C" w:rsidP="0024786A">
      <w:pPr>
        <w:ind w:left="1620" w:hanging="450"/>
        <w:rPr>
          <w:rFonts w:ascii="Arial" w:hAnsi="Arial" w:cs="Arial"/>
        </w:rPr>
      </w:pPr>
      <w:r w:rsidRPr="0042074C">
        <w:rPr>
          <w:rFonts w:ascii="Arial" w:hAnsi="Arial" w:cs="Arial"/>
        </w:rPr>
        <w:t>The following coverages shall be included:</w:t>
      </w:r>
    </w:p>
    <w:p w14:paraId="4CF8776A" w14:textId="77777777" w:rsidR="0042074C" w:rsidRPr="0042074C" w:rsidRDefault="0042074C" w:rsidP="0024786A">
      <w:pPr>
        <w:ind w:left="1980" w:hanging="450"/>
        <w:rPr>
          <w:rFonts w:ascii="Arial" w:hAnsi="Arial" w:cs="Arial"/>
        </w:rPr>
      </w:pPr>
      <w:r w:rsidRPr="0042074C">
        <w:rPr>
          <w:rFonts w:ascii="Arial" w:hAnsi="Arial" w:cs="Arial"/>
        </w:rPr>
        <w:t>•</w:t>
      </w:r>
      <w:r w:rsidRPr="0042074C">
        <w:rPr>
          <w:rFonts w:ascii="Arial" w:hAnsi="Arial" w:cs="Arial"/>
        </w:rPr>
        <w:tab/>
        <w:t>Premises and Operations Bodily Injury and Property Damage</w:t>
      </w:r>
    </w:p>
    <w:p w14:paraId="7309EBF4" w14:textId="77777777" w:rsidR="0042074C" w:rsidRPr="0042074C" w:rsidRDefault="0042074C" w:rsidP="0024786A">
      <w:pPr>
        <w:ind w:left="1980" w:hanging="450"/>
        <w:rPr>
          <w:rFonts w:ascii="Arial" w:hAnsi="Arial" w:cs="Arial"/>
        </w:rPr>
      </w:pPr>
      <w:r w:rsidRPr="0042074C">
        <w:rPr>
          <w:rFonts w:ascii="Arial" w:hAnsi="Arial" w:cs="Arial"/>
        </w:rPr>
        <w:t>•</w:t>
      </w:r>
      <w:r w:rsidRPr="0042074C">
        <w:rPr>
          <w:rFonts w:ascii="Arial" w:hAnsi="Arial" w:cs="Arial"/>
        </w:rPr>
        <w:tab/>
        <w:t>Personal and Advertising Injury</w:t>
      </w:r>
    </w:p>
    <w:p w14:paraId="5EADF6A9" w14:textId="77777777" w:rsidR="0042074C" w:rsidRPr="0042074C" w:rsidRDefault="0042074C" w:rsidP="0024786A">
      <w:pPr>
        <w:ind w:left="1980" w:hanging="450"/>
        <w:rPr>
          <w:rFonts w:ascii="Arial" w:hAnsi="Arial" w:cs="Arial"/>
        </w:rPr>
      </w:pPr>
      <w:r w:rsidRPr="0042074C">
        <w:rPr>
          <w:rFonts w:ascii="Arial" w:hAnsi="Arial" w:cs="Arial"/>
        </w:rPr>
        <w:t>•</w:t>
      </w:r>
      <w:r w:rsidRPr="0042074C">
        <w:rPr>
          <w:rFonts w:ascii="Arial" w:hAnsi="Arial" w:cs="Arial"/>
        </w:rPr>
        <w:tab/>
        <w:t>Blanket Contractual Liability</w:t>
      </w:r>
    </w:p>
    <w:p w14:paraId="52DC9785" w14:textId="77777777" w:rsidR="0042074C" w:rsidRPr="0042074C" w:rsidRDefault="0042074C" w:rsidP="0024786A">
      <w:pPr>
        <w:ind w:left="1980" w:hanging="450"/>
        <w:rPr>
          <w:rFonts w:ascii="Arial" w:hAnsi="Arial" w:cs="Arial"/>
        </w:rPr>
      </w:pPr>
      <w:r w:rsidRPr="0042074C">
        <w:rPr>
          <w:rFonts w:ascii="Arial" w:hAnsi="Arial" w:cs="Arial"/>
        </w:rPr>
        <w:t>•</w:t>
      </w:r>
      <w:r w:rsidRPr="0042074C">
        <w:rPr>
          <w:rFonts w:ascii="Arial" w:hAnsi="Arial" w:cs="Arial"/>
        </w:rPr>
        <w:tab/>
        <w:t>Products and Completed Operations Liability</w:t>
      </w:r>
    </w:p>
    <w:p w14:paraId="73ADB942" w14:textId="77777777" w:rsidR="0042074C" w:rsidRPr="0042074C" w:rsidRDefault="0042074C" w:rsidP="0024786A">
      <w:pPr>
        <w:ind w:left="1980" w:hanging="450"/>
        <w:rPr>
          <w:rFonts w:ascii="Arial" w:hAnsi="Arial" w:cs="Arial"/>
        </w:rPr>
      </w:pPr>
      <w:r w:rsidRPr="0042074C">
        <w:rPr>
          <w:rFonts w:ascii="Arial" w:hAnsi="Arial" w:cs="Arial"/>
        </w:rPr>
        <w:t>•</w:t>
      </w:r>
      <w:r w:rsidRPr="0042074C">
        <w:rPr>
          <w:rFonts w:ascii="Arial" w:hAnsi="Arial" w:cs="Arial"/>
        </w:rPr>
        <w:tab/>
        <w:t>Other; if applicable, please list__________________________________</w:t>
      </w:r>
    </w:p>
    <w:p w14:paraId="2BAF08FA" w14:textId="74F830F0" w:rsidR="00613C77" w:rsidRDefault="0042074C" w:rsidP="00613C77">
      <w:pPr>
        <w:ind w:left="1980" w:hanging="450"/>
        <w:rPr>
          <w:rFonts w:ascii="Arial" w:hAnsi="Arial" w:cs="Arial"/>
        </w:rPr>
      </w:pPr>
      <w:r w:rsidRPr="0042074C">
        <w:rPr>
          <w:rFonts w:ascii="Arial" w:hAnsi="Arial" w:cs="Arial"/>
        </w:rPr>
        <w:t>•</w:t>
      </w:r>
      <w:r w:rsidRPr="0042074C">
        <w:rPr>
          <w:rFonts w:ascii="Arial" w:hAnsi="Arial" w:cs="Arial"/>
        </w:rPr>
        <w:tab/>
        <w:t>State of Minnesota named as an Additional Insured, to the extent permitted by law</w:t>
      </w:r>
      <w:r w:rsidR="00613C77">
        <w:rPr>
          <w:rFonts w:ascii="Arial" w:hAnsi="Arial" w:cs="Arial"/>
        </w:rPr>
        <w:br w:type="page"/>
      </w:r>
    </w:p>
    <w:p w14:paraId="43895C4E" w14:textId="77777777" w:rsidR="0042074C" w:rsidRPr="00613C77" w:rsidRDefault="0042074C" w:rsidP="00613C77">
      <w:pPr>
        <w:rPr>
          <w:rFonts w:ascii="Arial" w:hAnsi="Arial" w:cs="Arial"/>
          <w:sz w:val="8"/>
          <w:szCs w:val="8"/>
        </w:rPr>
      </w:pPr>
    </w:p>
    <w:p w14:paraId="66F3F711" w14:textId="77777777" w:rsidR="0042074C" w:rsidRPr="0042074C" w:rsidRDefault="0042074C" w:rsidP="0024786A">
      <w:pPr>
        <w:ind w:left="1170" w:hanging="450"/>
        <w:rPr>
          <w:rFonts w:ascii="Arial" w:hAnsi="Arial" w:cs="Arial"/>
        </w:rPr>
      </w:pPr>
      <w:r w:rsidRPr="0042074C">
        <w:rPr>
          <w:rFonts w:ascii="Arial" w:hAnsi="Arial" w:cs="Arial"/>
        </w:rPr>
        <w:t>4.2</w:t>
      </w:r>
      <w:r w:rsidRPr="0042074C">
        <w:rPr>
          <w:rFonts w:ascii="Arial" w:hAnsi="Arial" w:cs="Arial"/>
        </w:rPr>
        <w:tab/>
        <w:t>Commercial Automobile Liability Insurance. Grantee is required to maintain insurance protecting it from claims for damages for bodily injury as well as from claims for property damage resulting from the ownership, operation, maintenance or use of all owned, hired, and non-owned autos which may arise from operations under the Agreement, and in case any work is subcontracted the Grantee will require the subcontractor to maintain Commercial Automobile Liability insurance. Insurance minimum limits are as follows:</w:t>
      </w:r>
    </w:p>
    <w:p w14:paraId="385A3219" w14:textId="77777777" w:rsidR="0042074C" w:rsidRPr="0042074C" w:rsidRDefault="0042074C" w:rsidP="0024786A">
      <w:pPr>
        <w:ind w:left="1620" w:hanging="450"/>
        <w:rPr>
          <w:rFonts w:ascii="Arial" w:hAnsi="Arial" w:cs="Arial"/>
        </w:rPr>
      </w:pPr>
      <w:r w:rsidRPr="0042074C">
        <w:rPr>
          <w:rFonts w:ascii="Arial" w:hAnsi="Arial" w:cs="Arial"/>
        </w:rPr>
        <w:t>$2,000,000 – per occurrence Combined Single limit for Bodily Injury and Property Damage</w:t>
      </w:r>
    </w:p>
    <w:p w14:paraId="7740CAA3" w14:textId="77777777" w:rsidR="0042074C" w:rsidRPr="0042074C" w:rsidRDefault="0042074C" w:rsidP="0024786A">
      <w:pPr>
        <w:ind w:left="1620" w:hanging="450"/>
        <w:rPr>
          <w:rFonts w:ascii="Arial" w:hAnsi="Arial" w:cs="Arial"/>
        </w:rPr>
      </w:pPr>
      <w:r w:rsidRPr="0042074C">
        <w:rPr>
          <w:rFonts w:ascii="Arial" w:hAnsi="Arial" w:cs="Arial"/>
        </w:rPr>
        <w:t>In addition, the following coverages should be included: Owned, Hired, and Non-owned Automobile.</w:t>
      </w:r>
    </w:p>
    <w:p w14:paraId="0BAABC17" w14:textId="77777777" w:rsidR="0042074C" w:rsidRPr="0042074C" w:rsidRDefault="0042074C" w:rsidP="0024786A">
      <w:pPr>
        <w:ind w:left="1620" w:hanging="450"/>
        <w:rPr>
          <w:rFonts w:ascii="Arial" w:hAnsi="Arial" w:cs="Arial"/>
        </w:rPr>
      </w:pPr>
      <w:r w:rsidRPr="0042074C">
        <w:rPr>
          <w:rFonts w:ascii="Arial" w:hAnsi="Arial" w:cs="Arial"/>
        </w:rPr>
        <w:t>Evidence of Subcontractor insurance shall be filed with the Grantee.</w:t>
      </w:r>
    </w:p>
    <w:p w14:paraId="4EF48EF7" w14:textId="77777777" w:rsidR="0042074C" w:rsidRPr="0042074C" w:rsidRDefault="0042074C" w:rsidP="007E4F5F">
      <w:pPr>
        <w:spacing w:before="120"/>
        <w:ind w:left="1170" w:hanging="450"/>
        <w:rPr>
          <w:rFonts w:ascii="Arial" w:hAnsi="Arial" w:cs="Arial"/>
        </w:rPr>
      </w:pPr>
      <w:r w:rsidRPr="0042074C">
        <w:rPr>
          <w:rFonts w:ascii="Arial" w:hAnsi="Arial" w:cs="Arial"/>
        </w:rPr>
        <w:t>4.3</w:t>
      </w:r>
      <w:r w:rsidRPr="0042074C">
        <w:rPr>
          <w:rFonts w:ascii="Arial" w:hAnsi="Arial" w:cs="Arial"/>
        </w:rPr>
        <w:tab/>
        <w:t>Workers’ Compensation Insurance. Statutory Compensation Coverage. Except as provided below, Grantee must provide Workers’ Compensation insurance for all its employees and, in case any work is subcontracted, Grantee will require the subcontractor to provide Workers’ Compensation insurance in accordance with the statutory requirements of the State, including Coverage B, Employer’s Liability. Insurance minimum limits are as follows:</w:t>
      </w:r>
    </w:p>
    <w:p w14:paraId="171D7645" w14:textId="77777777" w:rsidR="0042074C" w:rsidRPr="0042074C" w:rsidRDefault="0042074C" w:rsidP="0024786A">
      <w:pPr>
        <w:ind w:left="1620" w:hanging="450"/>
        <w:rPr>
          <w:rFonts w:ascii="Arial" w:hAnsi="Arial" w:cs="Arial"/>
        </w:rPr>
      </w:pPr>
      <w:r w:rsidRPr="0042074C">
        <w:rPr>
          <w:rFonts w:ascii="Arial" w:hAnsi="Arial" w:cs="Arial"/>
        </w:rPr>
        <w:t>$100,000 – Bodily Injury by Disease per employee</w:t>
      </w:r>
    </w:p>
    <w:p w14:paraId="604EF50E" w14:textId="77777777" w:rsidR="0042074C" w:rsidRPr="0042074C" w:rsidRDefault="0042074C" w:rsidP="0024786A">
      <w:pPr>
        <w:ind w:left="1620" w:hanging="450"/>
        <w:rPr>
          <w:rFonts w:ascii="Arial" w:hAnsi="Arial" w:cs="Arial"/>
        </w:rPr>
      </w:pPr>
      <w:r w:rsidRPr="0042074C">
        <w:rPr>
          <w:rFonts w:ascii="Arial" w:hAnsi="Arial" w:cs="Arial"/>
        </w:rPr>
        <w:t>$500,000 – Bodily Injury by Disease aggregate</w:t>
      </w:r>
    </w:p>
    <w:p w14:paraId="501BF892" w14:textId="77777777" w:rsidR="0042074C" w:rsidRPr="0042074C" w:rsidRDefault="0042074C" w:rsidP="0024786A">
      <w:pPr>
        <w:ind w:left="1620" w:hanging="450"/>
        <w:rPr>
          <w:rFonts w:ascii="Arial" w:hAnsi="Arial" w:cs="Arial"/>
        </w:rPr>
      </w:pPr>
      <w:r w:rsidRPr="0042074C">
        <w:rPr>
          <w:rFonts w:ascii="Arial" w:hAnsi="Arial" w:cs="Arial"/>
        </w:rPr>
        <w:t>$100,000 – Bodily Injury by Accident</w:t>
      </w:r>
    </w:p>
    <w:p w14:paraId="5C1BD4C0" w14:textId="77777777" w:rsidR="0042074C" w:rsidRPr="0042074C" w:rsidRDefault="0042074C" w:rsidP="0024786A">
      <w:pPr>
        <w:ind w:left="1170"/>
        <w:rPr>
          <w:rFonts w:ascii="Arial" w:hAnsi="Arial" w:cs="Arial"/>
        </w:rPr>
      </w:pPr>
      <w:r w:rsidRPr="0042074C">
        <w:rPr>
          <w:rFonts w:ascii="Arial" w:hAnsi="Arial" w:cs="Arial"/>
        </w:rPr>
        <w:t>If Minn. Stat. § 176.041 exempts Grantee from Workers’ Compensation insurance or if the Grantee has no employees in the State, Grantee must provide a written statement, signed by an authorized representative, indicating the qualifying exemption that excludes Grantee from the Minnesota Workers’ Compensation requirements.</w:t>
      </w:r>
    </w:p>
    <w:p w14:paraId="32BDB02E" w14:textId="77777777" w:rsidR="0042074C" w:rsidRPr="0042074C" w:rsidRDefault="0042074C" w:rsidP="0024786A">
      <w:pPr>
        <w:ind w:left="1170"/>
        <w:rPr>
          <w:rFonts w:ascii="Arial" w:hAnsi="Arial" w:cs="Arial"/>
        </w:rPr>
      </w:pPr>
      <w:r w:rsidRPr="0042074C">
        <w:rPr>
          <w:rFonts w:ascii="Arial" w:hAnsi="Arial" w:cs="Arial"/>
        </w:rPr>
        <w:t xml:space="preserve">If during the course of the contract the Grantee becomes eligible for Workers’ Compensation, the Grantee must comply with the Workers’ Compensation Insurance requirements herein and provide the State with a certificate of insurance. </w:t>
      </w:r>
    </w:p>
    <w:p w14:paraId="0D5EF711" w14:textId="77777777" w:rsidR="0042074C" w:rsidRPr="0042074C" w:rsidRDefault="0042074C" w:rsidP="007E4F5F">
      <w:pPr>
        <w:spacing w:before="120"/>
        <w:ind w:left="1170" w:hanging="450"/>
        <w:rPr>
          <w:rFonts w:ascii="Arial" w:hAnsi="Arial" w:cs="Arial"/>
        </w:rPr>
      </w:pPr>
      <w:r w:rsidRPr="0042074C">
        <w:rPr>
          <w:rFonts w:ascii="Arial" w:hAnsi="Arial" w:cs="Arial"/>
        </w:rPr>
        <w:t>4.4</w:t>
      </w:r>
      <w:r w:rsidRPr="0042074C">
        <w:rPr>
          <w:rFonts w:ascii="Arial" w:hAnsi="Arial" w:cs="Arial"/>
        </w:rPr>
        <w:tab/>
        <w:t>Professional Liability, Errors, and Omissions. This policy will provide coverage for all claims the Grantee may become legally obligated to pay resulting from any actual or alleged negligent act, error, or omission related to Grantee’s professional services required under the contract. Insurance minimum limits are as follows:</w:t>
      </w:r>
    </w:p>
    <w:p w14:paraId="0F39079E" w14:textId="77777777" w:rsidR="0042074C" w:rsidRPr="0042074C" w:rsidRDefault="0042074C" w:rsidP="0024786A">
      <w:pPr>
        <w:ind w:left="1170"/>
        <w:rPr>
          <w:rFonts w:ascii="Arial" w:hAnsi="Arial" w:cs="Arial"/>
        </w:rPr>
      </w:pPr>
      <w:r w:rsidRPr="0042074C">
        <w:rPr>
          <w:rFonts w:ascii="Arial" w:hAnsi="Arial" w:cs="Arial"/>
        </w:rPr>
        <w:t>$2,000,000 - per claim or event</w:t>
      </w:r>
    </w:p>
    <w:p w14:paraId="19E5F3F8" w14:textId="77777777" w:rsidR="0042074C" w:rsidRPr="0042074C" w:rsidRDefault="0042074C" w:rsidP="0024786A">
      <w:pPr>
        <w:ind w:left="1170"/>
        <w:rPr>
          <w:rFonts w:ascii="Arial" w:hAnsi="Arial" w:cs="Arial"/>
        </w:rPr>
      </w:pPr>
      <w:r w:rsidRPr="0042074C">
        <w:rPr>
          <w:rFonts w:ascii="Arial" w:hAnsi="Arial" w:cs="Arial"/>
        </w:rPr>
        <w:t>$2,000,000 - annual aggregate</w:t>
      </w:r>
    </w:p>
    <w:p w14:paraId="25CD3415" w14:textId="77777777" w:rsidR="0042074C" w:rsidRPr="0042074C" w:rsidRDefault="0042074C" w:rsidP="0024786A">
      <w:pPr>
        <w:ind w:left="1170"/>
        <w:rPr>
          <w:rFonts w:ascii="Arial" w:hAnsi="Arial" w:cs="Arial"/>
        </w:rPr>
      </w:pPr>
      <w:r w:rsidRPr="0042074C">
        <w:rPr>
          <w:rFonts w:ascii="Arial" w:hAnsi="Arial" w:cs="Arial"/>
        </w:rPr>
        <w:t>Any deductible will be the sole responsibility of the Grantee and may not exceed $50,000 without the written approval of the State. If the Grantee desires authority from the State to have a deductible in a higher amount, the Grantee shall so request in writing, specifying the amount of the desired deductible and providing financial documentation by submitting the most current audited financial statements so that the State can ascertain the ability of the Grantee to cover the deductible from its own resources.</w:t>
      </w:r>
    </w:p>
    <w:p w14:paraId="4C53CBF1" w14:textId="77777777" w:rsidR="0042074C" w:rsidRPr="0042074C" w:rsidRDefault="0042074C" w:rsidP="0024786A">
      <w:pPr>
        <w:ind w:left="1170"/>
        <w:rPr>
          <w:rFonts w:ascii="Arial" w:hAnsi="Arial" w:cs="Arial"/>
        </w:rPr>
      </w:pPr>
      <w:r w:rsidRPr="0042074C">
        <w:rPr>
          <w:rFonts w:ascii="Arial" w:hAnsi="Arial" w:cs="Arial"/>
        </w:rPr>
        <w:t>The retroactive or prior acts date of such coverage shall not be after the effective date of this Agreement and Grantee shall maintain such insurance for a period of at least three (3) years, following completion of the work. If such insurance is discontinued, extended reporting period coverage must be obtained by Grantee to fulfill this requirement.</w:t>
      </w:r>
    </w:p>
    <w:p w14:paraId="7ECBDC6C" w14:textId="77777777" w:rsidR="0042074C" w:rsidRPr="0042074C" w:rsidRDefault="0042074C" w:rsidP="007E4F5F">
      <w:pPr>
        <w:spacing w:before="120"/>
        <w:ind w:left="1170" w:hanging="450"/>
        <w:rPr>
          <w:rFonts w:ascii="Arial" w:hAnsi="Arial" w:cs="Arial"/>
        </w:rPr>
      </w:pPr>
      <w:r w:rsidRPr="0042074C">
        <w:rPr>
          <w:rFonts w:ascii="Arial" w:hAnsi="Arial" w:cs="Arial"/>
        </w:rPr>
        <w:t>4.5</w:t>
      </w:r>
      <w:r w:rsidRPr="0042074C">
        <w:rPr>
          <w:rFonts w:ascii="Arial" w:hAnsi="Arial" w:cs="Arial"/>
        </w:rPr>
        <w:tab/>
        <w:t>Property of Others Insurance (or equivalent). The Grantee shall maintain a Property insurance policy covering “All Risk” of direct physical loss or damage, or equivalent, including the perils of theft, flood, transit, earthquake, and pollution clean-up expense for property owned by the state that is in the Grantee’s care, custody, and control. Any deductible shall be the sole responsibility of the Grantee. Insurance minimum limits are as follows: The Grantee is solely responsible for the coverage equal to that of the actual cash value of state-owned property in the Grantee’s care, custody, and control at any given point in time.</w:t>
      </w:r>
    </w:p>
    <w:p w14:paraId="7B0E21F3" w14:textId="77777777" w:rsidR="0042074C" w:rsidRPr="0042074C" w:rsidRDefault="0042074C" w:rsidP="007E4F5F">
      <w:pPr>
        <w:spacing w:before="120"/>
        <w:ind w:left="1170" w:hanging="450"/>
        <w:rPr>
          <w:rFonts w:ascii="Arial" w:hAnsi="Arial" w:cs="Arial"/>
        </w:rPr>
      </w:pPr>
      <w:r w:rsidRPr="0042074C">
        <w:rPr>
          <w:rFonts w:ascii="Arial" w:hAnsi="Arial" w:cs="Arial"/>
        </w:rPr>
        <w:t>4.6</w:t>
      </w:r>
      <w:r w:rsidRPr="0042074C">
        <w:rPr>
          <w:rFonts w:ascii="Arial" w:hAnsi="Arial" w:cs="Arial"/>
        </w:rPr>
        <w:tab/>
        <w:t xml:space="preserve">Pollution Liability Insurance: Grantee’s Pollution Liability (or equivalent pollution liability coverage endorsed on another form of liability coverage, such as general liability or professional errors and omissions policy). </w:t>
      </w:r>
    </w:p>
    <w:p w14:paraId="68395A4A" w14:textId="77777777" w:rsidR="0042074C" w:rsidRPr="0042074C" w:rsidRDefault="0042074C" w:rsidP="00613C77">
      <w:pPr>
        <w:ind w:left="1620" w:hanging="450"/>
        <w:rPr>
          <w:rFonts w:ascii="Arial" w:hAnsi="Arial" w:cs="Arial"/>
        </w:rPr>
      </w:pPr>
      <w:r w:rsidRPr="0042074C">
        <w:rPr>
          <w:rFonts w:ascii="Arial" w:hAnsi="Arial" w:cs="Arial"/>
        </w:rPr>
        <w:t>a.  Minimum Limits of Liability:</w:t>
      </w:r>
    </w:p>
    <w:p w14:paraId="7B49C230" w14:textId="77777777" w:rsidR="0042074C" w:rsidRPr="0042074C" w:rsidRDefault="0042074C" w:rsidP="0024786A">
      <w:pPr>
        <w:ind w:left="1620" w:hanging="450"/>
        <w:rPr>
          <w:rFonts w:ascii="Arial" w:hAnsi="Arial" w:cs="Arial"/>
        </w:rPr>
      </w:pPr>
      <w:r w:rsidRPr="0042074C">
        <w:rPr>
          <w:rFonts w:ascii="Arial" w:hAnsi="Arial" w:cs="Arial"/>
        </w:rPr>
        <w:t>i.</w:t>
      </w:r>
      <w:r w:rsidRPr="0042074C">
        <w:rPr>
          <w:rFonts w:ascii="Arial" w:hAnsi="Arial" w:cs="Arial"/>
        </w:rPr>
        <w:tab/>
        <w:t>$2,000,000 – Per Claim</w:t>
      </w:r>
    </w:p>
    <w:p w14:paraId="57ABAE90" w14:textId="77777777" w:rsidR="0042074C" w:rsidRPr="0042074C" w:rsidRDefault="0042074C" w:rsidP="0024786A">
      <w:pPr>
        <w:ind w:left="1620" w:hanging="450"/>
        <w:rPr>
          <w:rFonts w:ascii="Arial" w:hAnsi="Arial" w:cs="Arial"/>
        </w:rPr>
      </w:pPr>
      <w:r w:rsidRPr="0042074C">
        <w:rPr>
          <w:rFonts w:ascii="Arial" w:hAnsi="Arial" w:cs="Arial"/>
        </w:rPr>
        <w:t>ii.</w:t>
      </w:r>
      <w:r w:rsidRPr="0042074C">
        <w:rPr>
          <w:rFonts w:ascii="Arial" w:hAnsi="Arial" w:cs="Arial"/>
        </w:rPr>
        <w:tab/>
        <w:t>$2,000,000 – Annual Aggregate</w:t>
      </w:r>
    </w:p>
    <w:p w14:paraId="7972461D" w14:textId="77777777" w:rsidR="0042074C" w:rsidRPr="0042074C" w:rsidRDefault="0042074C" w:rsidP="00613C77">
      <w:pPr>
        <w:ind w:left="1612" w:hanging="446"/>
        <w:rPr>
          <w:rFonts w:ascii="Arial" w:hAnsi="Arial" w:cs="Arial"/>
        </w:rPr>
      </w:pPr>
      <w:r w:rsidRPr="0042074C">
        <w:rPr>
          <w:rFonts w:ascii="Arial" w:hAnsi="Arial" w:cs="Arial"/>
        </w:rPr>
        <w:t>b. Coverages:</w:t>
      </w:r>
    </w:p>
    <w:p w14:paraId="2FF8C1A5" w14:textId="77777777" w:rsidR="0042074C" w:rsidRPr="0042074C" w:rsidRDefault="0042074C" w:rsidP="00613C77">
      <w:pPr>
        <w:ind w:left="1612" w:hanging="446"/>
        <w:rPr>
          <w:rFonts w:ascii="Arial" w:hAnsi="Arial" w:cs="Arial"/>
        </w:rPr>
      </w:pPr>
      <w:r w:rsidRPr="0042074C">
        <w:rPr>
          <w:rFonts w:ascii="Arial" w:hAnsi="Arial" w:cs="Arial"/>
        </w:rPr>
        <w:t>i.</w:t>
      </w:r>
      <w:r w:rsidRPr="0042074C">
        <w:rPr>
          <w:rFonts w:ascii="Arial" w:hAnsi="Arial" w:cs="Arial"/>
        </w:rPr>
        <w:tab/>
        <w:t xml:space="preserve">Policy will include Non-Owned Disposal Site Pollution Liability. </w:t>
      </w:r>
    </w:p>
    <w:p w14:paraId="75299B33" w14:textId="77777777" w:rsidR="0042074C" w:rsidRPr="0042074C" w:rsidRDefault="0042074C" w:rsidP="00613C77">
      <w:pPr>
        <w:ind w:left="1612" w:hanging="446"/>
        <w:rPr>
          <w:rFonts w:ascii="Arial" w:hAnsi="Arial" w:cs="Arial"/>
        </w:rPr>
      </w:pPr>
      <w:r w:rsidRPr="0042074C">
        <w:rPr>
          <w:rFonts w:ascii="Arial" w:hAnsi="Arial" w:cs="Arial"/>
        </w:rPr>
        <w:t>ii.</w:t>
      </w:r>
      <w:r w:rsidRPr="0042074C">
        <w:rPr>
          <w:rFonts w:ascii="Arial" w:hAnsi="Arial" w:cs="Arial"/>
        </w:rPr>
        <w:tab/>
        <w:t>Policy will not contain a lead exclusion.</w:t>
      </w:r>
    </w:p>
    <w:p w14:paraId="5833DF93" w14:textId="77777777" w:rsidR="0042074C" w:rsidRPr="0042074C" w:rsidRDefault="0042074C" w:rsidP="00613C77">
      <w:pPr>
        <w:ind w:left="1612" w:hanging="446"/>
        <w:rPr>
          <w:rFonts w:ascii="Arial" w:hAnsi="Arial" w:cs="Arial"/>
        </w:rPr>
      </w:pPr>
      <w:r w:rsidRPr="0042074C">
        <w:rPr>
          <w:rFonts w:ascii="Arial" w:hAnsi="Arial" w:cs="Arial"/>
        </w:rPr>
        <w:t>iii.</w:t>
      </w:r>
      <w:r w:rsidRPr="0042074C">
        <w:rPr>
          <w:rFonts w:ascii="Arial" w:hAnsi="Arial" w:cs="Arial"/>
        </w:rPr>
        <w:tab/>
        <w:t>Owner named as an Additional Insured.</w:t>
      </w:r>
    </w:p>
    <w:p w14:paraId="0A805361" w14:textId="7644D982" w:rsidR="0042074C" w:rsidRDefault="0042074C" w:rsidP="00613C77">
      <w:pPr>
        <w:ind w:left="1612" w:hanging="446"/>
        <w:rPr>
          <w:rFonts w:ascii="Arial" w:hAnsi="Arial" w:cs="Arial"/>
        </w:rPr>
      </w:pPr>
      <w:r w:rsidRPr="0042074C">
        <w:rPr>
          <w:rFonts w:ascii="Arial" w:hAnsi="Arial" w:cs="Arial"/>
        </w:rPr>
        <w:t>iv.</w:t>
      </w:r>
      <w:r w:rsidRPr="0042074C">
        <w:rPr>
          <w:rFonts w:ascii="Arial" w:hAnsi="Arial" w:cs="Arial"/>
        </w:rPr>
        <w:tab/>
        <w:t>Waiver of subrogation in favor of the State of Minnesota</w:t>
      </w:r>
    </w:p>
    <w:p w14:paraId="02F53D3D" w14:textId="7232F635" w:rsidR="00BF5648" w:rsidRPr="00A15A5F" w:rsidRDefault="0084050F" w:rsidP="007E4F5F">
      <w:pPr>
        <w:spacing w:before="120"/>
        <w:rPr>
          <w:rFonts w:ascii="Arial" w:hAnsi="Arial" w:cs="Arial"/>
        </w:rPr>
      </w:pPr>
      <w:r w:rsidRPr="00431579">
        <w:rPr>
          <w:rFonts w:ascii="Arial" w:hAnsi="Arial" w:cs="Arial"/>
        </w:rPr>
        <w:t>Signatures</w:t>
      </w:r>
    </w:p>
    <w:sectPr w:rsidR="00BF5648" w:rsidRPr="00A15A5F" w:rsidSect="007E4F5F">
      <w:headerReference w:type="default" r:id="rId17"/>
      <w:footerReference w:type="default" r:id="rId18"/>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3A7EF" w14:textId="77777777" w:rsidR="008935C1" w:rsidRDefault="008935C1">
      <w:r>
        <w:separator/>
      </w:r>
    </w:p>
  </w:endnote>
  <w:endnote w:type="continuationSeparator" w:id="0">
    <w:p w14:paraId="748E8ABF" w14:textId="77777777" w:rsidR="008935C1" w:rsidRDefault="00893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lliar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BE0A3" w14:textId="77777777" w:rsidR="00C81EB3" w:rsidRPr="00C81EB3" w:rsidRDefault="00C81EB3" w:rsidP="00C81EB3">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24457335" w14:textId="77777777" w:rsidR="00C81EB3" w:rsidRPr="00C81EB3" w:rsidRDefault="00C81EB3" w:rsidP="00C81EB3">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C81EB3">
      <w:rPr>
        <w:rFonts w:ascii="Calibri" w:hAnsi="Calibri"/>
        <w:iCs/>
        <w:sz w:val="16"/>
        <w:szCs w:val="16"/>
      </w:rPr>
      <w:t>https://www.pca.state.mn.us</w:t>
    </w:r>
    <w:r w:rsidRPr="00C81EB3">
      <w:rPr>
        <w:rFonts w:ascii="Calibri" w:hAnsi="Calibri"/>
        <w:iCs/>
        <w:sz w:val="16"/>
        <w:szCs w:val="16"/>
      </w:rPr>
      <w:tab/>
      <w:t>•</w:t>
    </w:r>
    <w:r w:rsidRPr="00C81EB3">
      <w:rPr>
        <w:rFonts w:ascii="Calibri" w:hAnsi="Calibri"/>
        <w:iCs/>
        <w:sz w:val="16"/>
        <w:szCs w:val="16"/>
      </w:rPr>
      <w:tab/>
      <w:t>651-296-6300</w:t>
    </w:r>
    <w:r w:rsidRPr="00C81EB3">
      <w:rPr>
        <w:rFonts w:ascii="Calibri" w:hAnsi="Calibri"/>
        <w:iCs/>
        <w:sz w:val="16"/>
        <w:szCs w:val="16"/>
      </w:rPr>
      <w:tab/>
      <w:t>•</w:t>
    </w:r>
    <w:r w:rsidRPr="00C81EB3">
      <w:rPr>
        <w:rFonts w:ascii="Calibri" w:hAnsi="Calibri"/>
        <w:iCs/>
        <w:sz w:val="16"/>
        <w:szCs w:val="16"/>
      </w:rPr>
      <w:tab/>
      <w:t>800-657-3864</w:t>
    </w:r>
    <w:r w:rsidRPr="00C81EB3">
      <w:rPr>
        <w:rFonts w:ascii="Calibri" w:hAnsi="Calibri"/>
        <w:iCs/>
        <w:sz w:val="16"/>
        <w:szCs w:val="16"/>
      </w:rPr>
      <w:tab/>
      <w:t>•</w:t>
    </w:r>
    <w:r w:rsidRPr="00C81EB3">
      <w:rPr>
        <w:rFonts w:ascii="Calibri" w:hAnsi="Calibri"/>
        <w:iCs/>
        <w:sz w:val="16"/>
        <w:szCs w:val="16"/>
      </w:rPr>
      <w:tab/>
      <w:t>Use your preferred relay service</w:t>
    </w:r>
    <w:r w:rsidRPr="00C81EB3">
      <w:rPr>
        <w:rFonts w:ascii="Calibri" w:hAnsi="Calibri"/>
        <w:iCs/>
        <w:sz w:val="16"/>
        <w:szCs w:val="16"/>
      </w:rPr>
      <w:tab/>
      <w:t>•</w:t>
    </w:r>
    <w:r w:rsidRPr="00C81EB3">
      <w:rPr>
        <w:rFonts w:ascii="Calibri" w:hAnsi="Calibri"/>
        <w:iCs/>
        <w:sz w:val="16"/>
        <w:szCs w:val="16"/>
      </w:rPr>
      <w:tab/>
      <w:t>Available in alternative formats</w:t>
    </w:r>
  </w:p>
  <w:p w14:paraId="17616F41" w14:textId="51412867" w:rsidR="00C81EB3" w:rsidRPr="00C81EB3" w:rsidRDefault="00CD0D36" w:rsidP="00C81EB3">
    <w:pPr>
      <w:tabs>
        <w:tab w:val="right" w:pos="10627"/>
      </w:tabs>
      <w:spacing w:before="40"/>
      <w:ind w:right="-115"/>
      <w:rPr>
        <w:rFonts w:ascii="Calibri" w:hAnsi="Calibri"/>
        <w:i/>
        <w:iCs/>
        <w:sz w:val="16"/>
        <w:szCs w:val="16"/>
      </w:rPr>
    </w:pPr>
    <w:r w:rsidRPr="00CD0D36">
      <w:rPr>
        <w:rFonts w:ascii="Calibri" w:hAnsi="Calibri" w:cs="Arial"/>
        <w:i/>
        <w:sz w:val="16"/>
        <w:szCs w:val="16"/>
      </w:rPr>
      <w:t>p-f2-62c-fy25</w:t>
    </w:r>
    <w:r>
      <w:rPr>
        <w:rFonts w:ascii="Calibri" w:hAnsi="Calibri" w:cs="Arial"/>
        <w:i/>
        <w:sz w:val="16"/>
        <w:szCs w:val="16"/>
      </w:rPr>
      <w:t xml:space="preserve"> </w:t>
    </w:r>
    <w:r w:rsidR="00C81EB3" w:rsidRPr="00C81EB3">
      <w:rPr>
        <w:rFonts w:ascii="Calibri" w:hAnsi="Calibri" w:cs="Arial"/>
        <w:i/>
        <w:sz w:val="16"/>
        <w:szCs w:val="16"/>
      </w:rPr>
      <w:t xml:space="preserve">•  </w:t>
    </w:r>
    <w:r w:rsidR="00DB591B">
      <w:rPr>
        <w:rFonts w:ascii="Calibri" w:hAnsi="Calibri" w:cs="Arial"/>
        <w:i/>
        <w:sz w:val="16"/>
        <w:szCs w:val="16"/>
      </w:rPr>
      <w:t>4/7/25</w:t>
    </w:r>
    <w:r w:rsidR="00C81EB3" w:rsidRPr="00C81EB3">
      <w:rPr>
        <w:rFonts w:ascii="Calibri" w:hAnsi="Calibri" w:cs="Arial"/>
        <w:sz w:val="16"/>
        <w:szCs w:val="16"/>
      </w:rPr>
      <w:tab/>
    </w:r>
    <w:r w:rsidR="00C81EB3" w:rsidRPr="00C81EB3">
      <w:rPr>
        <w:rFonts w:ascii="Calibri" w:hAnsi="Calibri"/>
        <w:i/>
        <w:iCs/>
        <w:sz w:val="16"/>
        <w:szCs w:val="16"/>
      </w:rPr>
      <w:t xml:space="preserve">Page </w:t>
    </w:r>
    <w:r w:rsidR="00C81EB3" w:rsidRPr="00C81EB3">
      <w:rPr>
        <w:rFonts w:ascii="Calibri" w:hAnsi="Calibri"/>
        <w:i/>
        <w:iCs/>
        <w:sz w:val="16"/>
        <w:szCs w:val="16"/>
      </w:rPr>
      <w:fldChar w:fldCharType="begin"/>
    </w:r>
    <w:r w:rsidR="00C81EB3" w:rsidRPr="00C81EB3">
      <w:rPr>
        <w:rFonts w:ascii="Calibri" w:hAnsi="Calibri"/>
        <w:i/>
        <w:iCs/>
        <w:sz w:val="16"/>
        <w:szCs w:val="16"/>
      </w:rPr>
      <w:instrText xml:space="preserve"> PAGE </w:instrText>
    </w:r>
    <w:r w:rsidR="00C81EB3" w:rsidRPr="00C81EB3">
      <w:rPr>
        <w:rFonts w:ascii="Calibri" w:hAnsi="Calibri"/>
        <w:i/>
        <w:iCs/>
        <w:sz w:val="16"/>
        <w:szCs w:val="16"/>
      </w:rPr>
      <w:fldChar w:fldCharType="separate"/>
    </w:r>
    <w:r w:rsidR="00EC1BF1">
      <w:rPr>
        <w:rFonts w:ascii="Calibri" w:hAnsi="Calibri"/>
        <w:i/>
        <w:iCs/>
        <w:noProof/>
        <w:sz w:val="16"/>
        <w:szCs w:val="16"/>
      </w:rPr>
      <w:t>4</w:t>
    </w:r>
    <w:r w:rsidR="00C81EB3" w:rsidRPr="00C81EB3">
      <w:rPr>
        <w:rFonts w:ascii="Calibri" w:hAnsi="Calibri"/>
        <w:i/>
        <w:iCs/>
        <w:sz w:val="16"/>
        <w:szCs w:val="16"/>
      </w:rPr>
      <w:fldChar w:fldCharType="end"/>
    </w:r>
    <w:r w:rsidR="00C81EB3" w:rsidRPr="00C81EB3">
      <w:rPr>
        <w:rFonts w:ascii="Calibri" w:hAnsi="Calibri"/>
        <w:i/>
        <w:iCs/>
        <w:sz w:val="16"/>
        <w:szCs w:val="16"/>
      </w:rPr>
      <w:t xml:space="preserve"> of </w:t>
    </w:r>
    <w:r w:rsidR="00C81EB3" w:rsidRPr="00C81EB3">
      <w:rPr>
        <w:rFonts w:ascii="Calibri" w:hAnsi="Calibri"/>
        <w:i/>
        <w:sz w:val="16"/>
        <w:szCs w:val="16"/>
      </w:rPr>
      <w:fldChar w:fldCharType="begin"/>
    </w:r>
    <w:r w:rsidR="00C81EB3" w:rsidRPr="00C81EB3">
      <w:rPr>
        <w:rFonts w:ascii="Calibri" w:hAnsi="Calibri"/>
        <w:i/>
        <w:sz w:val="16"/>
        <w:szCs w:val="16"/>
      </w:rPr>
      <w:instrText xml:space="preserve"> NUMPAGES </w:instrText>
    </w:r>
    <w:r w:rsidR="00C81EB3" w:rsidRPr="00C81EB3">
      <w:rPr>
        <w:rFonts w:ascii="Calibri" w:hAnsi="Calibri"/>
        <w:i/>
        <w:sz w:val="16"/>
        <w:szCs w:val="16"/>
      </w:rPr>
      <w:fldChar w:fldCharType="separate"/>
    </w:r>
    <w:r w:rsidR="00EC1BF1">
      <w:rPr>
        <w:rFonts w:ascii="Calibri" w:hAnsi="Calibri"/>
        <w:i/>
        <w:noProof/>
        <w:sz w:val="16"/>
        <w:szCs w:val="16"/>
      </w:rPr>
      <w:t>7</w:t>
    </w:r>
    <w:r w:rsidR="00C81EB3" w:rsidRPr="00C81EB3">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458E1" w14:textId="77777777" w:rsidR="008935C1" w:rsidRDefault="008935C1">
      <w:r>
        <w:separator/>
      </w:r>
    </w:p>
  </w:footnote>
  <w:footnote w:type="continuationSeparator" w:id="0">
    <w:p w14:paraId="214073AF" w14:textId="77777777" w:rsidR="008935C1" w:rsidRDefault="00893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510B1" w14:textId="77777777" w:rsidR="00653BBA" w:rsidRDefault="00CF2D13" w:rsidP="007E4F5F">
    <w:r>
      <w:rPr>
        <w:noProof/>
      </w:rPr>
      <w:pict w14:anchorId="11622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pPr>
        <w:tabs>
          <w:tab w:val="num" w:pos="360"/>
        </w:tabs>
        <w:ind w:left="360" w:hanging="360"/>
      </w:pPr>
      <w:rPr>
        <w:rFonts w:ascii="Galliard BT" w:hAnsi="Galliard BT" w:cs="Times New Roman"/>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9081BCF"/>
    <w:multiLevelType w:val="hybridMultilevel"/>
    <w:tmpl w:val="9F949D7E"/>
    <w:lvl w:ilvl="0" w:tplc="2C1EDA92">
      <w:start w:val="1"/>
      <w:numFmt w:val="lowerLetter"/>
      <w:lvlText w:val="(%1)"/>
      <w:lvlJc w:val="left"/>
      <w:pPr>
        <w:ind w:left="1740" w:hanging="360"/>
      </w:pPr>
      <w:rPr>
        <w:rFonts w:asciiTheme="minorHAnsi" w:hAnsiTheme="minorHAnsi" w:cstheme="minorHAnsi" w:hint="default"/>
        <w:b/>
        <w:i/>
        <w:color w:val="auto"/>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 w15:restartNumberingAfterBreak="0">
    <w:nsid w:val="122246A0"/>
    <w:multiLevelType w:val="multilevel"/>
    <w:tmpl w:val="52D090C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B30E29"/>
    <w:multiLevelType w:val="multilevel"/>
    <w:tmpl w:val="290E4578"/>
    <w:lvl w:ilvl="0">
      <w:start w:val="1"/>
      <w:numFmt w:val="upperLetter"/>
      <w:suff w:val="nothing"/>
      <w:lvlText w:val="%1."/>
      <w:lvlJc w:val="left"/>
    </w:lvl>
    <w:lvl w:ilvl="1">
      <w:start w:val="1"/>
      <w:numFmt w:val="upperLetter"/>
      <w:suff w:val="nothing"/>
      <w:lvlText w:val="(%2)"/>
      <w:lvlJc w:val="left"/>
    </w:lvl>
    <w:lvl w:ilvl="2">
      <w:start w:val="2"/>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upperLetter"/>
      <w:suff w:val="nothing"/>
      <w:lvlText w:val="%6."/>
      <w:lvlJc w:val="left"/>
    </w:lvl>
    <w:lvl w:ilvl="6">
      <w:start w:val="1"/>
      <w:numFmt w:val="lowerRoman"/>
      <w:lvlText w:val="%7."/>
      <w:lvlJc w:val="right"/>
    </w:lvl>
    <w:lvl w:ilvl="7">
      <w:start w:val="1"/>
      <w:numFmt w:val="upperLetter"/>
      <w:suff w:val="nothing"/>
      <w:lvlText w:val="%8."/>
      <w:lvlJc w:val="left"/>
    </w:lvl>
    <w:lvl w:ilvl="8">
      <w:start w:val="1"/>
      <w:numFmt w:val="none"/>
      <w:suff w:val="nothing"/>
      <w:lvlText w:val=""/>
      <w:lvlJc w:val="left"/>
    </w:lvl>
  </w:abstractNum>
  <w:abstractNum w:abstractNumId="4" w15:restartNumberingAfterBreak="0">
    <w:nsid w:val="16F906F2"/>
    <w:multiLevelType w:val="hybridMultilevel"/>
    <w:tmpl w:val="B336A9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7042E0B"/>
    <w:multiLevelType w:val="multilevel"/>
    <w:tmpl w:val="1CDEF1DE"/>
    <w:lvl w:ilvl="0">
      <w:start w:val="1"/>
      <w:numFmt w:val="decimal"/>
      <w:lvlText w:val="%1"/>
      <w:lvlJc w:val="left"/>
      <w:pPr>
        <w:ind w:left="360" w:hanging="360"/>
      </w:pPr>
      <w:rPr>
        <w:rFonts w:hint="default"/>
        <w:b w:val="0"/>
        <w:i w:val="0"/>
      </w:rPr>
    </w:lvl>
    <w:lvl w:ilvl="1">
      <w:start w:val="1"/>
      <w:numFmt w:val="decimal"/>
      <w:lvlText w:val="%1.%2"/>
      <w:lvlJc w:val="left"/>
      <w:pPr>
        <w:ind w:left="720" w:hanging="360"/>
      </w:pPr>
      <w:rPr>
        <w:rFonts w:hint="default"/>
        <w:b w:val="0"/>
        <w:i w:val="0"/>
      </w:rPr>
    </w:lvl>
    <w:lvl w:ilvl="2">
      <w:start w:val="1"/>
      <w:numFmt w:val="decimal"/>
      <w:lvlText w:val="%1.%2.%3"/>
      <w:lvlJc w:val="left"/>
      <w:pPr>
        <w:ind w:left="1440" w:hanging="720"/>
      </w:pPr>
      <w:rPr>
        <w:rFonts w:hint="default"/>
        <w:b w:val="0"/>
        <w:i w:val="0"/>
      </w:rPr>
    </w:lvl>
    <w:lvl w:ilvl="3">
      <w:start w:val="1"/>
      <w:numFmt w:val="decimal"/>
      <w:lvlText w:val="%1.%2.%3.%4"/>
      <w:lvlJc w:val="left"/>
      <w:pPr>
        <w:ind w:left="1800" w:hanging="720"/>
      </w:pPr>
      <w:rPr>
        <w:rFonts w:hint="default"/>
        <w:b w:val="0"/>
        <w:i w:val="0"/>
      </w:rPr>
    </w:lvl>
    <w:lvl w:ilvl="4">
      <w:start w:val="1"/>
      <w:numFmt w:val="decimal"/>
      <w:lvlText w:val="%1.%2.%3.%4.%5"/>
      <w:lvlJc w:val="left"/>
      <w:pPr>
        <w:ind w:left="2520" w:hanging="1080"/>
      </w:pPr>
      <w:rPr>
        <w:rFonts w:hint="default"/>
        <w:b w:val="0"/>
        <w:i w:val="0"/>
      </w:rPr>
    </w:lvl>
    <w:lvl w:ilvl="5">
      <w:start w:val="1"/>
      <w:numFmt w:val="decimal"/>
      <w:lvlText w:val="%1.%2.%3.%4.%5.%6"/>
      <w:lvlJc w:val="left"/>
      <w:pPr>
        <w:ind w:left="2880" w:hanging="1080"/>
      </w:pPr>
      <w:rPr>
        <w:rFonts w:hint="default"/>
        <w:b w:val="0"/>
        <w:i w:val="0"/>
      </w:rPr>
    </w:lvl>
    <w:lvl w:ilvl="6">
      <w:start w:val="1"/>
      <w:numFmt w:val="decimal"/>
      <w:lvlText w:val="%1.%2.%3.%4.%5.%6.%7"/>
      <w:lvlJc w:val="left"/>
      <w:pPr>
        <w:ind w:left="3600" w:hanging="1440"/>
      </w:pPr>
      <w:rPr>
        <w:rFonts w:hint="default"/>
        <w:b w:val="0"/>
        <w:i w:val="0"/>
      </w:rPr>
    </w:lvl>
    <w:lvl w:ilvl="7">
      <w:start w:val="1"/>
      <w:numFmt w:val="decimal"/>
      <w:lvlText w:val="%1.%2.%3.%4.%5.%6.%7.%8"/>
      <w:lvlJc w:val="left"/>
      <w:pPr>
        <w:ind w:left="3960" w:hanging="1440"/>
      </w:pPr>
      <w:rPr>
        <w:rFonts w:hint="default"/>
        <w:b w:val="0"/>
        <w:i w:val="0"/>
      </w:rPr>
    </w:lvl>
    <w:lvl w:ilvl="8">
      <w:start w:val="1"/>
      <w:numFmt w:val="decimal"/>
      <w:lvlText w:val="%1.%2.%3.%4.%5.%6.%7.%8.%9"/>
      <w:lvlJc w:val="left"/>
      <w:pPr>
        <w:ind w:left="4320" w:hanging="1440"/>
      </w:pPr>
      <w:rPr>
        <w:rFonts w:hint="default"/>
        <w:b w:val="0"/>
        <w:i w:val="0"/>
      </w:rPr>
    </w:lvl>
  </w:abstractNum>
  <w:abstractNum w:abstractNumId="6" w15:restartNumberingAfterBreak="0">
    <w:nsid w:val="20121406"/>
    <w:multiLevelType w:val="hybridMultilevel"/>
    <w:tmpl w:val="98B6EFA4"/>
    <w:lvl w:ilvl="0" w:tplc="0409001B">
      <w:start w:val="1"/>
      <w:numFmt w:val="lowerRoman"/>
      <w:lvlText w:val="%1."/>
      <w:lvlJc w:val="righ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15:restartNumberingAfterBreak="0">
    <w:nsid w:val="21CE205B"/>
    <w:multiLevelType w:val="multilevel"/>
    <w:tmpl w:val="F82E7D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5155142"/>
    <w:multiLevelType w:val="multilevel"/>
    <w:tmpl w:val="1310BA8C"/>
    <w:lvl w:ilvl="0">
      <w:start w:val="15"/>
      <w:numFmt w:val="decimal"/>
      <w:lvlText w:val="%1"/>
      <w:lvlJc w:val="left"/>
      <w:pPr>
        <w:ind w:left="384" w:hanging="384"/>
      </w:pPr>
      <w:rPr>
        <w:rFonts w:hint="default"/>
        <w:b/>
        <w:i/>
      </w:rPr>
    </w:lvl>
    <w:lvl w:ilvl="1">
      <w:start w:val="1"/>
      <w:numFmt w:val="decimal"/>
      <w:lvlText w:val="%1.%2"/>
      <w:lvlJc w:val="left"/>
      <w:pPr>
        <w:ind w:left="384" w:hanging="384"/>
      </w:pPr>
      <w:rPr>
        <w:rFonts w:hint="default"/>
        <w:b w:val="0"/>
        <w:bCs/>
        <w:i w:val="0"/>
        <w:iCs/>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9" w15:restartNumberingAfterBreak="0">
    <w:nsid w:val="303C2FB9"/>
    <w:multiLevelType w:val="multilevel"/>
    <w:tmpl w:val="D5940908"/>
    <w:lvl w:ilvl="0">
      <w:start w:val="13"/>
      <w:numFmt w:val="decimal"/>
      <w:lvlText w:val="%1"/>
      <w:lvlJc w:val="left"/>
      <w:pPr>
        <w:ind w:left="390" w:hanging="390"/>
      </w:pPr>
      <w:rPr>
        <w:rFonts w:hint="default"/>
        <w:b/>
        <w:i/>
      </w:rPr>
    </w:lvl>
    <w:lvl w:ilvl="1">
      <w:start w:val="1"/>
      <w:numFmt w:val="decimal"/>
      <w:lvlText w:val="%1.%2"/>
      <w:lvlJc w:val="left"/>
      <w:pPr>
        <w:ind w:left="1020" w:hanging="390"/>
      </w:pPr>
      <w:rPr>
        <w:rFonts w:hint="default"/>
        <w:b w:val="0"/>
        <w:bCs/>
        <w:i w:val="0"/>
        <w:iCs/>
      </w:rPr>
    </w:lvl>
    <w:lvl w:ilvl="2">
      <w:start w:val="1"/>
      <w:numFmt w:val="decimal"/>
      <w:lvlText w:val="%1.%2.%3"/>
      <w:lvlJc w:val="left"/>
      <w:pPr>
        <w:ind w:left="1620" w:hanging="720"/>
      </w:pPr>
      <w:rPr>
        <w:rFonts w:hint="default"/>
        <w:b/>
        <w:i/>
      </w:rPr>
    </w:lvl>
    <w:lvl w:ilvl="3">
      <w:start w:val="1"/>
      <w:numFmt w:val="decimal"/>
      <w:lvlText w:val="%1.%2.%3.%4"/>
      <w:lvlJc w:val="left"/>
      <w:pPr>
        <w:ind w:left="2070" w:hanging="720"/>
      </w:pPr>
      <w:rPr>
        <w:rFonts w:hint="default"/>
        <w:b/>
        <w:i/>
      </w:rPr>
    </w:lvl>
    <w:lvl w:ilvl="4">
      <w:start w:val="1"/>
      <w:numFmt w:val="decimal"/>
      <w:lvlText w:val="%1.%2.%3.%4.%5"/>
      <w:lvlJc w:val="left"/>
      <w:pPr>
        <w:ind w:left="2880" w:hanging="1080"/>
      </w:pPr>
      <w:rPr>
        <w:rFonts w:hint="default"/>
        <w:b/>
        <w:i/>
      </w:rPr>
    </w:lvl>
    <w:lvl w:ilvl="5">
      <w:start w:val="1"/>
      <w:numFmt w:val="decimal"/>
      <w:lvlText w:val="%1.%2.%3.%4.%5.%6"/>
      <w:lvlJc w:val="left"/>
      <w:pPr>
        <w:ind w:left="3330" w:hanging="1080"/>
      </w:pPr>
      <w:rPr>
        <w:rFonts w:hint="default"/>
        <w:b/>
        <w:i/>
      </w:rPr>
    </w:lvl>
    <w:lvl w:ilvl="6">
      <w:start w:val="1"/>
      <w:numFmt w:val="decimal"/>
      <w:lvlText w:val="%1.%2.%3.%4.%5.%6.%7"/>
      <w:lvlJc w:val="left"/>
      <w:pPr>
        <w:ind w:left="4140" w:hanging="1440"/>
      </w:pPr>
      <w:rPr>
        <w:rFonts w:hint="default"/>
        <w:b/>
        <w:i/>
      </w:rPr>
    </w:lvl>
    <w:lvl w:ilvl="7">
      <w:start w:val="1"/>
      <w:numFmt w:val="decimal"/>
      <w:lvlText w:val="%1.%2.%3.%4.%5.%6.%7.%8"/>
      <w:lvlJc w:val="left"/>
      <w:pPr>
        <w:ind w:left="4590" w:hanging="1440"/>
      </w:pPr>
      <w:rPr>
        <w:rFonts w:hint="default"/>
        <w:b/>
        <w:i/>
      </w:rPr>
    </w:lvl>
    <w:lvl w:ilvl="8">
      <w:start w:val="1"/>
      <w:numFmt w:val="decimal"/>
      <w:lvlText w:val="%1.%2.%3.%4.%5.%6.%7.%8.%9"/>
      <w:lvlJc w:val="left"/>
      <w:pPr>
        <w:ind w:left="5040" w:hanging="1440"/>
      </w:pPr>
      <w:rPr>
        <w:rFonts w:hint="default"/>
        <w:b/>
        <w:i/>
      </w:rPr>
    </w:lvl>
  </w:abstractNum>
  <w:abstractNum w:abstractNumId="10" w15:restartNumberingAfterBreak="0">
    <w:nsid w:val="3779543E"/>
    <w:multiLevelType w:val="multilevel"/>
    <w:tmpl w:val="9B36D32C"/>
    <w:lvl w:ilvl="0">
      <w:start w:val="14"/>
      <w:numFmt w:val="decimal"/>
      <w:lvlText w:val="%1"/>
      <w:lvlJc w:val="left"/>
      <w:pPr>
        <w:ind w:left="420" w:hanging="420"/>
      </w:pPr>
      <w:rPr>
        <w:rFonts w:hint="default"/>
        <w:b/>
        <w:i/>
        <w:color w:val="000000"/>
      </w:rPr>
    </w:lvl>
    <w:lvl w:ilvl="1">
      <w:start w:val="1"/>
      <w:numFmt w:val="decimal"/>
      <w:lvlText w:val="%1.%2"/>
      <w:lvlJc w:val="left"/>
      <w:pPr>
        <w:ind w:left="1290" w:hanging="420"/>
      </w:pPr>
      <w:rPr>
        <w:rFonts w:hint="default"/>
        <w:b w:val="0"/>
        <w:i w:val="0"/>
        <w:color w:val="000000"/>
      </w:rPr>
    </w:lvl>
    <w:lvl w:ilvl="2">
      <w:start w:val="1"/>
      <w:numFmt w:val="decimal"/>
      <w:lvlText w:val="%1.%2.%3"/>
      <w:lvlJc w:val="left"/>
      <w:pPr>
        <w:ind w:left="2460" w:hanging="720"/>
      </w:pPr>
      <w:rPr>
        <w:rFonts w:hint="default"/>
        <w:b/>
        <w:i/>
        <w:color w:val="000000"/>
      </w:rPr>
    </w:lvl>
    <w:lvl w:ilvl="3">
      <w:start w:val="1"/>
      <w:numFmt w:val="decimal"/>
      <w:lvlText w:val="%1.%2.%3.%4"/>
      <w:lvlJc w:val="left"/>
      <w:pPr>
        <w:ind w:left="3330" w:hanging="720"/>
      </w:pPr>
      <w:rPr>
        <w:rFonts w:hint="default"/>
        <w:b/>
        <w:i/>
        <w:color w:val="000000"/>
      </w:rPr>
    </w:lvl>
    <w:lvl w:ilvl="4">
      <w:start w:val="1"/>
      <w:numFmt w:val="decimal"/>
      <w:lvlText w:val="%1.%2.%3.%4.%5"/>
      <w:lvlJc w:val="left"/>
      <w:pPr>
        <w:ind w:left="4560" w:hanging="1080"/>
      </w:pPr>
      <w:rPr>
        <w:rFonts w:hint="default"/>
        <w:b/>
        <w:i/>
        <w:color w:val="000000"/>
      </w:rPr>
    </w:lvl>
    <w:lvl w:ilvl="5">
      <w:start w:val="1"/>
      <w:numFmt w:val="decimal"/>
      <w:lvlText w:val="%1.%2.%3.%4.%5.%6"/>
      <w:lvlJc w:val="left"/>
      <w:pPr>
        <w:ind w:left="5430" w:hanging="1080"/>
      </w:pPr>
      <w:rPr>
        <w:rFonts w:hint="default"/>
        <w:b/>
        <w:i/>
        <w:color w:val="000000"/>
      </w:rPr>
    </w:lvl>
    <w:lvl w:ilvl="6">
      <w:start w:val="1"/>
      <w:numFmt w:val="decimal"/>
      <w:lvlText w:val="%1.%2.%3.%4.%5.%6.%7"/>
      <w:lvlJc w:val="left"/>
      <w:pPr>
        <w:ind w:left="6660" w:hanging="1440"/>
      </w:pPr>
      <w:rPr>
        <w:rFonts w:hint="default"/>
        <w:b/>
        <w:i/>
        <w:color w:val="000000"/>
      </w:rPr>
    </w:lvl>
    <w:lvl w:ilvl="7">
      <w:start w:val="1"/>
      <w:numFmt w:val="decimal"/>
      <w:lvlText w:val="%1.%2.%3.%4.%5.%6.%7.%8"/>
      <w:lvlJc w:val="left"/>
      <w:pPr>
        <w:ind w:left="7530" w:hanging="1440"/>
      </w:pPr>
      <w:rPr>
        <w:rFonts w:hint="default"/>
        <w:b/>
        <w:i/>
        <w:color w:val="000000"/>
      </w:rPr>
    </w:lvl>
    <w:lvl w:ilvl="8">
      <w:start w:val="1"/>
      <w:numFmt w:val="decimal"/>
      <w:lvlText w:val="%1.%2.%3.%4.%5.%6.%7.%8.%9"/>
      <w:lvlJc w:val="left"/>
      <w:pPr>
        <w:ind w:left="8760" w:hanging="1800"/>
      </w:pPr>
      <w:rPr>
        <w:rFonts w:hint="default"/>
        <w:b/>
        <w:i/>
        <w:color w:val="000000"/>
      </w:rPr>
    </w:lvl>
  </w:abstractNum>
  <w:abstractNum w:abstractNumId="11" w15:restartNumberingAfterBreak="0">
    <w:nsid w:val="3BA72313"/>
    <w:multiLevelType w:val="multilevel"/>
    <w:tmpl w:val="B7B62E7A"/>
    <w:lvl w:ilvl="0">
      <w:start w:val="1"/>
      <w:numFmt w:val="decimal"/>
      <w:lvlText w:val="%1."/>
      <w:lvlJc w:val="left"/>
      <w:pPr>
        <w:tabs>
          <w:tab w:val="num" w:pos="360"/>
        </w:tabs>
        <w:ind w:left="360" w:hanging="360"/>
      </w:pPr>
      <w:rPr>
        <w:rFonts w:ascii="Calibri" w:hAnsi="Calibri" w:cs="Arial" w:hint="default"/>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3E877081"/>
    <w:multiLevelType w:val="hybridMultilevel"/>
    <w:tmpl w:val="C5A28CB4"/>
    <w:lvl w:ilvl="0" w:tplc="7A22D8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F6FEA"/>
    <w:multiLevelType w:val="hybridMultilevel"/>
    <w:tmpl w:val="97D2DDA2"/>
    <w:lvl w:ilvl="0" w:tplc="373C7C6C">
      <w:start w:val="1"/>
      <w:numFmt w:val="lowerLetter"/>
      <w:lvlText w:val="(%1)"/>
      <w:lvlJc w:val="left"/>
      <w:pPr>
        <w:ind w:left="1080" w:hanging="360"/>
      </w:pPr>
      <w:rPr>
        <w:rFonts w:hint="default"/>
        <w:b/>
        <w:i/>
        <w:color w:val="auto"/>
      </w:rPr>
    </w:lvl>
    <w:lvl w:ilvl="1" w:tplc="0B0E59C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408DE"/>
    <w:multiLevelType w:val="hybridMultilevel"/>
    <w:tmpl w:val="895E744E"/>
    <w:lvl w:ilvl="0" w:tplc="0409001B">
      <w:start w:val="1"/>
      <w:numFmt w:val="lowerRoman"/>
      <w:lvlText w:val="%1."/>
      <w:lvlJc w:val="righ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5" w15:restartNumberingAfterBreak="0">
    <w:nsid w:val="4EA550E0"/>
    <w:multiLevelType w:val="hybridMultilevel"/>
    <w:tmpl w:val="D56E9DBE"/>
    <w:lvl w:ilvl="0" w:tplc="16CCF37C">
      <w:start w:val="1"/>
      <w:numFmt w:val="bullet"/>
      <w:lvlText w:val=""/>
      <w:lvlJc w:val="left"/>
      <w:pPr>
        <w:ind w:left="1627" w:hanging="360"/>
      </w:pPr>
      <w:rPr>
        <w:rFonts w:ascii="Symbol" w:hAnsi="Symbol" w:hint="default"/>
        <w:b w:val="0"/>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6" w15:restartNumberingAfterBreak="0">
    <w:nsid w:val="51E044F9"/>
    <w:multiLevelType w:val="multilevel"/>
    <w:tmpl w:val="3844E3FA"/>
    <w:lvl w:ilvl="0">
      <w:start w:val="1"/>
      <w:numFmt w:val="decimal"/>
      <w:lvlText w:val="%1."/>
      <w:lvlJc w:val="left"/>
      <w:pPr>
        <w:ind w:left="360" w:hanging="36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900" w:hanging="360"/>
      </w:pPr>
      <w:rPr>
        <w:rFonts w:hint="default"/>
        <w:b w:val="0"/>
        <w:bCs w:val="0"/>
        <w:i w:val="0"/>
        <w:iCs w:val="0"/>
        <w:caps w:val="0"/>
        <w:smallCaps w:val="0"/>
        <w:strike w:val="0"/>
        <w:dstrike w:val="0"/>
        <w:outline w:val="0"/>
        <w:shadow w:val="0"/>
        <w:emboss w:val="0"/>
        <w:imprint w:val="0"/>
        <w:noProof w:val="0"/>
        <w:vanish w:val="0"/>
        <w:spacing w:val="0"/>
        <w:kern w:val="0"/>
        <w:position w:val="0"/>
        <w:sz w:val="22"/>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336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90" w:hanging="864"/>
      </w:pPr>
      <w:rPr>
        <w:rFonts w:hint="default"/>
      </w:rPr>
    </w:lvl>
    <w:lvl w:ilvl="4">
      <w:start w:val="1"/>
      <w:numFmt w:val="decimal"/>
      <w:lvlText w:val="%1.%2.%3.%4.%5"/>
      <w:lvlJc w:val="left"/>
      <w:pPr>
        <w:tabs>
          <w:tab w:val="num" w:pos="1890"/>
        </w:tabs>
        <w:ind w:left="2970" w:hanging="1080"/>
      </w:pPr>
      <w:rPr>
        <w:rFonts w:hint="default"/>
      </w:rPr>
    </w:lvl>
    <w:lvl w:ilvl="5">
      <w:start w:val="1"/>
      <w:numFmt w:val="lowerRoman"/>
      <w:lvlText w:val="(%6)"/>
      <w:lvlJc w:val="left"/>
      <w:pPr>
        <w:ind w:left="1890" w:hanging="360"/>
      </w:pPr>
      <w:rPr>
        <w:rFonts w:hint="default"/>
      </w:rPr>
    </w:lvl>
    <w:lvl w:ilvl="6">
      <w:start w:val="1"/>
      <w:numFmt w:val="decimal"/>
      <w:lvlText w:val="%7."/>
      <w:lvlJc w:val="left"/>
      <w:pPr>
        <w:ind w:left="2250" w:hanging="360"/>
      </w:pPr>
      <w:rPr>
        <w:rFonts w:hint="default"/>
      </w:rPr>
    </w:lvl>
    <w:lvl w:ilvl="7">
      <w:start w:val="1"/>
      <w:numFmt w:val="lowerLetter"/>
      <w:lvlText w:val="%8."/>
      <w:lvlJc w:val="left"/>
      <w:pPr>
        <w:ind w:left="2610" w:hanging="360"/>
      </w:pPr>
      <w:rPr>
        <w:rFonts w:hint="default"/>
      </w:rPr>
    </w:lvl>
    <w:lvl w:ilvl="8">
      <w:start w:val="1"/>
      <w:numFmt w:val="lowerRoman"/>
      <w:lvlText w:val="%9."/>
      <w:lvlJc w:val="left"/>
      <w:pPr>
        <w:ind w:left="2970" w:hanging="360"/>
      </w:pPr>
      <w:rPr>
        <w:rFonts w:hint="default"/>
      </w:rPr>
    </w:lvl>
  </w:abstractNum>
  <w:abstractNum w:abstractNumId="17" w15:restartNumberingAfterBreak="0">
    <w:nsid w:val="5A6053DF"/>
    <w:multiLevelType w:val="multilevel"/>
    <w:tmpl w:val="A2AE82F4"/>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5B940293"/>
    <w:multiLevelType w:val="multilevel"/>
    <w:tmpl w:val="F82E7D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C5739A9"/>
    <w:multiLevelType w:val="multilevel"/>
    <w:tmpl w:val="B7B62E7A"/>
    <w:lvl w:ilvl="0">
      <w:start w:val="1"/>
      <w:numFmt w:val="decimal"/>
      <w:lvlText w:val="%1."/>
      <w:lvlJc w:val="left"/>
      <w:pPr>
        <w:tabs>
          <w:tab w:val="num" w:pos="360"/>
        </w:tabs>
        <w:ind w:left="360" w:hanging="360"/>
      </w:pPr>
      <w:rPr>
        <w:rFonts w:ascii="Calibri" w:hAnsi="Calibri" w:cs="Arial" w:hint="default"/>
        <w:b/>
        <w:sz w:val="22"/>
        <w:szCs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15:restartNumberingAfterBreak="0">
    <w:nsid w:val="5CD63676"/>
    <w:multiLevelType w:val="multilevel"/>
    <w:tmpl w:val="F82E7D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AD31AA"/>
    <w:multiLevelType w:val="hybridMultilevel"/>
    <w:tmpl w:val="86E20FA0"/>
    <w:lvl w:ilvl="0" w:tplc="190C1FE2">
      <w:start w:val="1"/>
      <w:numFmt w:val="lowerLetter"/>
      <w:lvlText w:val="(%1)"/>
      <w:lvlJc w:val="left"/>
      <w:pPr>
        <w:ind w:left="2790" w:hanging="360"/>
      </w:pPr>
      <w:rPr>
        <w:rFonts w:hint="default"/>
        <w:b/>
        <w:i/>
        <w:color w:val="auto"/>
      </w:r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2" w15:restartNumberingAfterBreak="0">
    <w:nsid w:val="6D6D4F9C"/>
    <w:multiLevelType w:val="hybridMultilevel"/>
    <w:tmpl w:val="E96C9C38"/>
    <w:lvl w:ilvl="0" w:tplc="373C7C6C">
      <w:start w:val="1"/>
      <w:numFmt w:val="lowerLetter"/>
      <w:lvlText w:val="(%1)"/>
      <w:lvlJc w:val="left"/>
      <w:pPr>
        <w:ind w:left="1080" w:hanging="360"/>
      </w:pPr>
      <w:rPr>
        <w:rFonts w:hint="default"/>
        <w:b/>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166C29"/>
    <w:multiLevelType w:val="hybridMultilevel"/>
    <w:tmpl w:val="45D08C30"/>
    <w:lvl w:ilvl="0" w:tplc="190C1FE2">
      <w:start w:val="1"/>
      <w:numFmt w:val="lowerLetter"/>
      <w:lvlText w:val="(%1)"/>
      <w:lvlJc w:val="left"/>
      <w:pPr>
        <w:ind w:left="1080" w:hanging="360"/>
      </w:pPr>
      <w:rPr>
        <w:rFonts w:hint="default"/>
        <w:b/>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B763100"/>
    <w:multiLevelType w:val="hybridMultilevel"/>
    <w:tmpl w:val="6DC0FD00"/>
    <w:lvl w:ilvl="0" w:tplc="190C1FE2">
      <w:start w:val="1"/>
      <w:numFmt w:val="lowerLetter"/>
      <w:lvlText w:val="(%1)"/>
      <w:lvlJc w:val="left"/>
      <w:pPr>
        <w:ind w:left="1080" w:hanging="360"/>
      </w:pPr>
      <w:rPr>
        <w:rFonts w:hint="default"/>
        <w:b/>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C2B5066"/>
    <w:multiLevelType w:val="multilevel"/>
    <w:tmpl w:val="0BCE5DB0"/>
    <w:lvl w:ilvl="0">
      <w:start w:val="1"/>
      <w:numFmt w:val="lowerLetter"/>
      <w:suff w:val="space"/>
      <w:lvlText w:val="(%1)"/>
      <w:lvlJc w:val="left"/>
      <w:pPr>
        <w:ind w:left="1080" w:hanging="360"/>
      </w:pPr>
      <w:rPr>
        <w:rFonts w:ascii="Galliard BT" w:hAnsi="Galliard BT" w:hint="default"/>
        <w:b/>
        <w:i/>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F390FED"/>
    <w:multiLevelType w:val="hybridMultilevel"/>
    <w:tmpl w:val="86E20FA0"/>
    <w:lvl w:ilvl="0" w:tplc="190C1FE2">
      <w:start w:val="1"/>
      <w:numFmt w:val="lowerLetter"/>
      <w:lvlText w:val="(%1)"/>
      <w:lvlJc w:val="left"/>
      <w:pPr>
        <w:ind w:left="1080" w:hanging="360"/>
      </w:pPr>
      <w:rPr>
        <w:rFonts w:hint="default"/>
        <w:b/>
        <w: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249026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41069975">
    <w:abstractNumId w:val="10"/>
  </w:num>
  <w:num w:numId="3" w16cid:durableId="801995715">
    <w:abstractNumId w:val="24"/>
  </w:num>
  <w:num w:numId="4" w16cid:durableId="649868575">
    <w:abstractNumId w:val="4"/>
  </w:num>
  <w:num w:numId="5" w16cid:durableId="1535115624">
    <w:abstractNumId w:val="5"/>
  </w:num>
  <w:num w:numId="6" w16cid:durableId="1094981757">
    <w:abstractNumId w:val="11"/>
  </w:num>
  <w:num w:numId="7" w16cid:durableId="1863586824">
    <w:abstractNumId w:val="22"/>
  </w:num>
  <w:num w:numId="8" w16cid:durableId="1137842831">
    <w:abstractNumId w:val="26"/>
  </w:num>
  <w:num w:numId="9" w16cid:durableId="1784575353">
    <w:abstractNumId w:val="13"/>
  </w:num>
  <w:num w:numId="10" w16cid:durableId="985208256">
    <w:abstractNumId w:val="25"/>
  </w:num>
  <w:num w:numId="11" w16cid:durableId="1749186165">
    <w:abstractNumId w:val="21"/>
  </w:num>
  <w:num w:numId="12" w16cid:durableId="1407847543">
    <w:abstractNumId w:val="12"/>
  </w:num>
  <w:num w:numId="13" w16cid:durableId="1270119291">
    <w:abstractNumId w:val="23"/>
  </w:num>
  <w:num w:numId="14" w16cid:durableId="357893174">
    <w:abstractNumId w:val="16"/>
  </w:num>
  <w:num w:numId="15" w16cid:durableId="1103259168">
    <w:abstractNumId w:val="15"/>
  </w:num>
  <w:num w:numId="16" w16cid:durableId="4555679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9163381">
    <w:abstractNumId w:val="3"/>
  </w:num>
  <w:num w:numId="18" w16cid:durableId="626741037">
    <w:abstractNumId w:val="6"/>
  </w:num>
  <w:num w:numId="19" w16cid:durableId="913706810">
    <w:abstractNumId w:val="14"/>
  </w:num>
  <w:num w:numId="20" w16cid:durableId="1097017987">
    <w:abstractNumId w:val="19"/>
  </w:num>
  <w:num w:numId="21" w16cid:durableId="588852161">
    <w:abstractNumId w:val="8"/>
  </w:num>
  <w:num w:numId="22" w16cid:durableId="2018342575">
    <w:abstractNumId w:val="2"/>
  </w:num>
  <w:num w:numId="23" w16cid:durableId="741679233">
    <w:abstractNumId w:val="17"/>
  </w:num>
  <w:num w:numId="24" w16cid:durableId="819227067">
    <w:abstractNumId w:val="7"/>
  </w:num>
  <w:num w:numId="25" w16cid:durableId="2021883661">
    <w:abstractNumId w:val="18"/>
  </w:num>
  <w:num w:numId="26" w16cid:durableId="2102094635">
    <w:abstractNumId w:val="20"/>
  </w:num>
  <w:num w:numId="27" w16cid:durableId="369379897">
    <w:abstractNumId w:val="9"/>
  </w:num>
  <w:num w:numId="28" w16cid:durableId="216357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RuERUxlz5VfofPOhVT5FupDqI5ii+BkBdkHVEoSFb50JRcbYUEouK/I4WArDHZ5Gyel3XpBpOWe0HxekAmbzDA==" w:salt="FRpZKSuDrZQtfYwG6uYOfA=="/>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50F"/>
    <w:rsid w:val="000876A5"/>
    <w:rsid w:val="000A5A98"/>
    <w:rsid w:val="00105468"/>
    <w:rsid w:val="001131E5"/>
    <w:rsid w:val="001624AE"/>
    <w:rsid w:val="00176A70"/>
    <w:rsid w:val="00182925"/>
    <w:rsid w:val="0018419C"/>
    <w:rsid w:val="001A0CF9"/>
    <w:rsid w:val="001C0D92"/>
    <w:rsid w:val="001E0493"/>
    <w:rsid w:val="001E2B0D"/>
    <w:rsid w:val="00215911"/>
    <w:rsid w:val="00221148"/>
    <w:rsid w:val="0023070A"/>
    <w:rsid w:val="0024786A"/>
    <w:rsid w:val="00272A17"/>
    <w:rsid w:val="002A51B3"/>
    <w:rsid w:val="002E5897"/>
    <w:rsid w:val="00342DEB"/>
    <w:rsid w:val="0036366B"/>
    <w:rsid w:val="00390AD0"/>
    <w:rsid w:val="003944AC"/>
    <w:rsid w:val="003B2A5F"/>
    <w:rsid w:val="003B7A35"/>
    <w:rsid w:val="0042074C"/>
    <w:rsid w:val="004C738C"/>
    <w:rsid w:val="0051793D"/>
    <w:rsid w:val="0054721D"/>
    <w:rsid w:val="00592ABC"/>
    <w:rsid w:val="005C1444"/>
    <w:rsid w:val="00613C77"/>
    <w:rsid w:val="0061752C"/>
    <w:rsid w:val="00653BBA"/>
    <w:rsid w:val="0066376D"/>
    <w:rsid w:val="006D6719"/>
    <w:rsid w:val="006F688E"/>
    <w:rsid w:val="007137CC"/>
    <w:rsid w:val="00766A27"/>
    <w:rsid w:val="00793B93"/>
    <w:rsid w:val="007C25AF"/>
    <w:rsid w:val="007D573C"/>
    <w:rsid w:val="007E27CB"/>
    <w:rsid w:val="007E4F5F"/>
    <w:rsid w:val="00816B4B"/>
    <w:rsid w:val="00826696"/>
    <w:rsid w:val="00834D9F"/>
    <w:rsid w:val="0084050F"/>
    <w:rsid w:val="00862650"/>
    <w:rsid w:val="008935C1"/>
    <w:rsid w:val="008A0E27"/>
    <w:rsid w:val="00905402"/>
    <w:rsid w:val="0094437C"/>
    <w:rsid w:val="009A1828"/>
    <w:rsid w:val="009A54C7"/>
    <w:rsid w:val="009F3B4D"/>
    <w:rsid w:val="00A15A5F"/>
    <w:rsid w:val="00A718DE"/>
    <w:rsid w:val="00A95388"/>
    <w:rsid w:val="00AC741C"/>
    <w:rsid w:val="00AE0F49"/>
    <w:rsid w:val="00B06A0E"/>
    <w:rsid w:val="00B941A2"/>
    <w:rsid w:val="00BF0074"/>
    <w:rsid w:val="00BF5648"/>
    <w:rsid w:val="00C81EB3"/>
    <w:rsid w:val="00C927CC"/>
    <w:rsid w:val="00C93624"/>
    <w:rsid w:val="00CD0D36"/>
    <w:rsid w:val="00CE4F7C"/>
    <w:rsid w:val="00CF0AF2"/>
    <w:rsid w:val="00CF2D13"/>
    <w:rsid w:val="00D40A8B"/>
    <w:rsid w:val="00D435A0"/>
    <w:rsid w:val="00D53231"/>
    <w:rsid w:val="00D5662E"/>
    <w:rsid w:val="00D722EB"/>
    <w:rsid w:val="00D85A31"/>
    <w:rsid w:val="00D92CD3"/>
    <w:rsid w:val="00DB591B"/>
    <w:rsid w:val="00DC4D55"/>
    <w:rsid w:val="00E464C8"/>
    <w:rsid w:val="00E555B6"/>
    <w:rsid w:val="00E652D1"/>
    <w:rsid w:val="00E81CAF"/>
    <w:rsid w:val="00EA1DE7"/>
    <w:rsid w:val="00EC1BF1"/>
    <w:rsid w:val="00EC5AB8"/>
    <w:rsid w:val="00EE06F5"/>
    <w:rsid w:val="00F73745"/>
    <w:rsid w:val="00F93EFF"/>
    <w:rsid w:val="00FC3CE2"/>
    <w:rsid w:val="00FF15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C8A4DBB"/>
  <w15:chartTrackingRefBased/>
  <w15:docId w15:val="{BB31E2FC-DB78-42E5-ABAF-7DB87E53A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50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C144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qFormat/>
    <w:rsid w:val="001E0493"/>
    <w:pPr>
      <w:widowControl w:val="0"/>
      <w:spacing w:before="360" w:after="120"/>
      <w:ind w:left="1224" w:hanging="1224"/>
      <w:jc w:val="center"/>
      <w:outlineLvl w:val="1"/>
    </w:pPr>
    <w:rPr>
      <w:rFonts w:ascii="Arial" w:hAnsi="Arial" w:cs="Arial"/>
      <w:b/>
      <w:sz w:val="24"/>
      <w:szCs w:val="28"/>
    </w:rPr>
  </w:style>
  <w:style w:type="paragraph" w:styleId="Heading3">
    <w:name w:val="heading 3"/>
    <w:basedOn w:val="Normal"/>
    <w:link w:val="Heading3Char"/>
    <w:uiPriority w:val="9"/>
    <w:qFormat/>
    <w:rsid w:val="005C1444"/>
    <w:pPr>
      <w:tabs>
        <w:tab w:val="left" w:pos="1620"/>
      </w:tabs>
      <w:spacing w:before="240" w:after="240"/>
      <w:ind w:left="3366" w:hanging="576"/>
      <w:outlineLvl w:val="2"/>
    </w:pPr>
    <w:rPr>
      <w:rFonts w:ascii="Calibri" w:eastAsiaTheme="majorEastAsia" w:hAnsi="Calibri" w:cstheme="majorBidi"/>
      <w:sz w:val="22"/>
      <w:szCs w:val="24"/>
    </w:rPr>
  </w:style>
  <w:style w:type="paragraph" w:styleId="Heading4">
    <w:name w:val="heading 4"/>
    <w:basedOn w:val="Normal"/>
    <w:link w:val="Heading4Char"/>
    <w:uiPriority w:val="9"/>
    <w:qFormat/>
    <w:rsid w:val="005C1444"/>
    <w:pPr>
      <w:tabs>
        <w:tab w:val="right" w:pos="3780"/>
      </w:tabs>
      <w:spacing w:after="240"/>
      <w:ind w:left="1890" w:hanging="864"/>
      <w:outlineLvl w:val="3"/>
    </w:pPr>
    <w:rPr>
      <w:rFonts w:ascii="Calibri" w:eastAsiaTheme="majorEastAsia" w:hAnsi="Calibri" w:cstheme="majorBidi"/>
      <w:iCs/>
      <w:sz w:val="22"/>
      <w:szCs w:val="22"/>
    </w:rPr>
  </w:style>
  <w:style w:type="paragraph" w:styleId="Heading5">
    <w:name w:val="heading 5"/>
    <w:basedOn w:val="Normal"/>
    <w:link w:val="Heading5Char"/>
    <w:uiPriority w:val="9"/>
    <w:qFormat/>
    <w:rsid w:val="005C1444"/>
    <w:pPr>
      <w:tabs>
        <w:tab w:val="num" w:pos="1890"/>
        <w:tab w:val="left" w:pos="3420"/>
      </w:tabs>
      <w:spacing w:after="240"/>
      <w:ind w:left="2970" w:hanging="1080"/>
      <w:outlineLvl w:val="4"/>
    </w:pPr>
    <w:rPr>
      <w:rFonts w:ascii="Calibri" w:eastAsiaTheme="majorEastAsia" w:hAnsi="Calibr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E0493"/>
    <w:rPr>
      <w:rFonts w:ascii="Arial" w:eastAsia="Times New Roman" w:hAnsi="Arial" w:cs="Arial"/>
      <w:b/>
      <w:sz w:val="24"/>
      <w:szCs w:val="28"/>
    </w:rPr>
  </w:style>
  <w:style w:type="paragraph" w:styleId="ListParagraph">
    <w:name w:val="List Paragraph"/>
    <w:basedOn w:val="Normal"/>
    <w:uiPriority w:val="34"/>
    <w:qFormat/>
    <w:rsid w:val="0084050F"/>
    <w:pPr>
      <w:ind w:left="720"/>
      <w:contextualSpacing/>
    </w:pPr>
  </w:style>
  <w:style w:type="character" w:styleId="Hyperlink">
    <w:name w:val="Hyperlink"/>
    <w:uiPriority w:val="99"/>
    <w:unhideWhenUsed/>
    <w:rsid w:val="0084050F"/>
    <w:rPr>
      <w:color w:val="0000FF"/>
      <w:u w:val="single"/>
    </w:rPr>
  </w:style>
  <w:style w:type="paragraph" w:customStyle="1" w:styleId="Form-Title1">
    <w:name w:val="Form - Title 1"/>
    <w:basedOn w:val="Normal"/>
    <w:link w:val="Form-Title1Char"/>
    <w:qFormat/>
    <w:rsid w:val="0084050F"/>
    <w:pPr>
      <w:widowControl w:val="0"/>
      <w:spacing w:before="80"/>
      <w:jc w:val="right"/>
    </w:pPr>
    <w:rPr>
      <w:rFonts w:ascii="Calibri" w:hAnsi="Calibri"/>
      <w:bCs/>
      <w:sz w:val="40"/>
      <w:szCs w:val="24"/>
    </w:rPr>
  </w:style>
  <w:style w:type="character" w:customStyle="1" w:styleId="Form-Title1Char">
    <w:name w:val="Form - Title 1 Char"/>
    <w:link w:val="Form-Title1"/>
    <w:rsid w:val="0084050F"/>
    <w:rPr>
      <w:rFonts w:ascii="Calibri" w:eastAsia="Times New Roman" w:hAnsi="Calibri" w:cs="Times New Roman"/>
      <w:bCs/>
      <w:sz w:val="40"/>
      <w:szCs w:val="24"/>
    </w:rPr>
  </w:style>
  <w:style w:type="paragraph" w:customStyle="1" w:styleId="Form-Title3">
    <w:name w:val="Form - Title 3"/>
    <w:basedOn w:val="Header"/>
    <w:link w:val="Form-Title3Char"/>
    <w:qFormat/>
    <w:rsid w:val="0084050F"/>
    <w:pPr>
      <w:widowControl w:val="0"/>
      <w:tabs>
        <w:tab w:val="clear" w:pos="4680"/>
        <w:tab w:val="clear" w:pos="9360"/>
        <w:tab w:val="right" w:pos="7182"/>
      </w:tabs>
      <w:jc w:val="right"/>
    </w:pPr>
    <w:rPr>
      <w:rFonts w:ascii="Calibri" w:hAnsi="Calibri"/>
      <w:bCs/>
      <w:sz w:val="22"/>
    </w:rPr>
  </w:style>
  <w:style w:type="character" w:customStyle="1" w:styleId="Form-Title3Char">
    <w:name w:val="Form - Title 3 Char"/>
    <w:link w:val="Form-Title3"/>
    <w:rsid w:val="0084050F"/>
    <w:rPr>
      <w:rFonts w:ascii="Calibri" w:eastAsia="Times New Roman" w:hAnsi="Calibri" w:cs="Times New Roman"/>
      <w:bCs/>
      <w:szCs w:val="20"/>
    </w:rPr>
  </w:style>
  <w:style w:type="paragraph" w:customStyle="1" w:styleId="Form-Title4">
    <w:name w:val="Form - Title 4"/>
    <w:basedOn w:val="Header"/>
    <w:link w:val="Form-Title4Char"/>
    <w:qFormat/>
    <w:rsid w:val="0084050F"/>
    <w:pPr>
      <w:widowControl w:val="0"/>
      <w:tabs>
        <w:tab w:val="clear" w:pos="4680"/>
        <w:tab w:val="clear" w:pos="936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84050F"/>
    <w:rPr>
      <w:rFonts w:ascii="Arial" w:eastAsia="Times New Roman" w:hAnsi="Arial" w:cs="Arial"/>
      <w:bCs/>
      <w:i/>
      <w:sz w:val="16"/>
      <w:szCs w:val="16"/>
    </w:rPr>
  </w:style>
  <w:style w:type="paragraph" w:customStyle="1" w:styleId="Form-Bodytext1">
    <w:name w:val="Form - Bodytext 1"/>
    <w:basedOn w:val="BodyText"/>
    <w:link w:val="Form-Bodytext1Char"/>
    <w:qFormat/>
    <w:rsid w:val="0084050F"/>
    <w:pPr>
      <w:widowControl w:val="0"/>
      <w:spacing w:before="120" w:after="0"/>
    </w:pPr>
    <w:rPr>
      <w:rFonts w:ascii="Arial" w:hAnsi="Arial"/>
      <w:bCs/>
      <w:sz w:val="18"/>
    </w:rPr>
  </w:style>
  <w:style w:type="character" w:customStyle="1" w:styleId="Form-Bodytext1Char">
    <w:name w:val="Form - Bodytext 1 Char"/>
    <w:link w:val="Form-Bodytext1"/>
    <w:rsid w:val="0084050F"/>
    <w:rPr>
      <w:rFonts w:ascii="Arial" w:eastAsia="Times New Roman" w:hAnsi="Arial" w:cs="Times New Roman"/>
      <w:bCs/>
      <w:sz w:val="18"/>
      <w:szCs w:val="20"/>
    </w:rPr>
  </w:style>
  <w:style w:type="character" w:customStyle="1" w:styleId="Form-Heading1Char">
    <w:name w:val="Form - Heading 1 Char"/>
    <w:link w:val="Form-Heading1"/>
    <w:rsid w:val="0084050F"/>
    <w:rPr>
      <w:rFonts w:ascii="Calibri" w:hAnsi="Calibri"/>
      <w:b/>
      <w:sz w:val="28"/>
      <w:szCs w:val="24"/>
    </w:rPr>
  </w:style>
  <w:style w:type="paragraph" w:customStyle="1" w:styleId="Form-Heading1">
    <w:name w:val="Form - Heading 1"/>
    <w:link w:val="Form-Heading1Char"/>
    <w:qFormat/>
    <w:rsid w:val="0084050F"/>
    <w:pPr>
      <w:widowControl w:val="0"/>
      <w:spacing w:before="360" w:after="60" w:line="240" w:lineRule="auto"/>
      <w:ind w:left="1224" w:hanging="1224"/>
    </w:pPr>
    <w:rPr>
      <w:rFonts w:ascii="Calibri" w:hAnsi="Calibri"/>
      <w:b/>
      <w:sz w:val="28"/>
      <w:szCs w:val="24"/>
    </w:rPr>
  </w:style>
  <w:style w:type="paragraph" w:styleId="Header">
    <w:name w:val="header"/>
    <w:basedOn w:val="Normal"/>
    <w:link w:val="HeaderChar"/>
    <w:uiPriority w:val="99"/>
    <w:unhideWhenUsed/>
    <w:rsid w:val="0084050F"/>
    <w:pPr>
      <w:tabs>
        <w:tab w:val="center" w:pos="4680"/>
        <w:tab w:val="right" w:pos="9360"/>
      </w:tabs>
    </w:pPr>
  </w:style>
  <w:style w:type="character" w:customStyle="1" w:styleId="HeaderChar">
    <w:name w:val="Header Char"/>
    <w:basedOn w:val="DefaultParagraphFont"/>
    <w:link w:val="Header"/>
    <w:uiPriority w:val="99"/>
    <w:rsid w:val="0084050F"/>
    <w:rPr>
      <w:rFonts w:ascii="Times New Roman" w:eastAsia="Times New Roman" w:hAnsi="Times New Roman" w:cs="Times New Roman"/>
      <w:sz w:val="20"/>
      <w:szCs w:val="20"/>
    </w:rPr>
  </w:style>
  <w:style w:type="paragraph" w:styleId="BodyText">
    <w:name w:val="Body Text"/>
    <w:basedOn w:val="Normal"/>
    <w:link w:val="BodyTextChar"/>
    <w:uiPriority w:val="99"/>
    <w:unhideWhenUsed/>
    <w:rsid w:val="0084050F"/>
    <w:pPr>
      <w:spacing w:after="120"/>
    </w:pPr>
  </w:style>
  <w:style w:type="character" w:customStyle="1" w:styleId="BodyTextChar">
    <w:name w:val="Body Text Char"/>
    <w:basedOn w:val="DefaultParagraphFont"/>
    <w:link w:val="BodyText"/>
    <w:uiPriority w:val="99"/>
    <w:rsid w:val="0084050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652D1"/>
    <w:pPr>
      <w:tabs>
        <w:tab w:val="center" w:pos="4680"/>
        <w:tab w:val="right" w:pos="9360"/>
      </w:tabs>
    </w:pPr>
  </w:style>
  <w:style w:type="character" w:customStyle="1" w:styleId="FooterChar">
    <w:name w:val="Footer Char"/>
    <w:basedOn w:val="DefaultParagraphFont"/>
    <w:link w:val="Footer"/>
    <w:uiPriority w:val="99"/>
    <w:rsid w:val="00E652D1"/>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1131E5"/>
    <w:rPr>
      <w:color w:val="605E5C"/>
      <w:shd w:val="clear" w:color="auto" w:fill="E1DFDD"/>
    </w:rPr>
  </w:style>
  <w:style w:type="character" w:styleId="FollowedHyperlink">
    <w:name w:val="FollowedHyperlink"/>
    <w:basedOn w:val="DefaultParagraphFont"/>
    <w:uiPriority w:val="99"/>
    <w:semiHidden/>
    <w:unhideWhenUsed/>
    <w:rsid w:val="00FF1567"/>
    <w:rPr>
      <w:color w:val="954F72" w:themeColor="followedHyperlink"/>
      <w:u w:val="single"/>
    </w:rPr>
  </w:style>
  <w:style w:type="character" w:styleId="CommentReference">
    <w:name w:val="annotation reference"/>
    <w:basedOn w:val="DefaultParagraphFont"/>
    <w:uiPriority w:val="99"/>
    <w:semiHidden/>
    <w:unhideWhenUsed/>
    <w:rsid w:val="001A0CF9"/>
    <w:rPr>
      <w:sz w:val="16"/>
      <w:szCs w:val="16"/>
    </w:rPr>
  </w:style>
  <w:style w:type="paragraph" w:styleId="CommentText">
    <w:name w:val="annotation text"/>
    <w:basedOn w:val="Normal"/>
    <w:link w:val="CommentTextChar"/>
    <w:uiPriority w:val="99"/>
    <w:unhideWhenUsed/>
    <w:rsid w:val="001A0CF9"/>
  </w:style>
  <w:style w:type="character" w:customStyle="1" w:styleId="CommentTextChar">
    <w:name w:val="Comment Text Char"/>
    <w:basedOn w:val="DefaultParagraphFont"/>
    <w:link w:val="CommentText"/>
    <w:uiPriority w:val="99"/>
    <w:rsid w:val="001A0C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A0CF9"/>
    <w:rPr>
      <w:b/>
      <w:bCs/>
    </w:rPr>
  </w:style>
  <w:style w:type="character" w:customStyle="1" w:styleId="CommentSubjectChar">
    <w:name w:val="Comment Subject Char"/>
    <w:basedOn w:val="CommentTextChar"/>
    <w:link w:val="CommentSubject"/>
    <w:uiPriority w:val="99"/>
    <w:semiHidden/>
    <w:rsid w:val="001A0CF9"/>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5C144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5C1444"/>
    <w:rPr>
      <w:rFonts w:ascii="Calibri" w:eastAsiaTheme="majorEastAsia" w:hAnsi="Calibri" w:cstheme="majorBidi"/>
      <w:szCs w:val="24"/>
    </w:rPr>
  </w:style>
  <w:style w:type="character" w:customStyle="1" w:styleId="Heading4Char">
    <w:name w:val="Heading 4 Char"/>
    <w:basedOn w:val="DefaultParagraphFont"/>
    <w:link w:val="Heading4"/>
    <w:uiPriority w:val="9"/>
    <w:rsid w:val="005C1444"/>
    <w:rPr>
      <w:rFonts w:ascii="Calibri" w:eastAsiaTheme="majorEastAsia" w:hAnsi="Calibri" w:cstheme="majorBidi"/>
      <w:iCs/>
    </w:rPr>
  </w:style>
  <w:style w:type="character" w:customStyle="1" w:styleId="Heading5Char">
    <w:name w:val="Heading 5 Char"/>
    <w:basedOn w:val="DefaultParagraphFont"/>
    <w:link w:val="Heading5"/>
    <w:uiPriority w:val="9"/>
    <w:rsid w:val="005C1444"/>
    <w:rPr>
      <w:rFonts w:ascii="Calibri" w:eastAsiaTheme="majorEastAsia" w:hAnsi="Calibri" w:cstheme="majorBidi"/>
    </w:rPr>
  </w:style>
  <w:style w:type="paragraph" w:styleId="Title">
    <w:name w:val="Title"/>
    <w:basedOn w:val="Normal"/>
    <w:next w:val="Normal"/>
    <w:link w:val="TitleChar"/>
    <w:qFormat/>
    <w:rsid w:val="005C1444"/>
    <w:pPr>
      <w:keepNext/>
      <w:spacing w:after="240"/>
      <w:jc w:val="center"/>
    </w:pPr>
    <w:rPr>
      <w:rFonts w:ascii="Calibri" w:eastAsiaTheme="minorHAnsi" w:hAnsi="Calibri" w:cstheme="minorBidi"/>
      <w:b/>
      <w:sz w:val="22"/>
      <w:szCs w:val="22"/>
    </w:rPr>
  </w:style>
  <w:style w:type="character" w:customStyle="1" w:styleId="TitleChar">
    <w:name w:val="Title Char"/>
    <w:basedOn w:val="DefaultParagraphFont"/>
    <w:link w:val="Title"/>
    <w:rsid w:val="005C1444"/>
    <w:rPr>
      <w:rFonts w:ascii="Calibri" w:hAnsi="Calibri"/>
      <w:b/>
    </w:rPr>
  </w:style>
  <w:style w:type="paragraph" w:styleId="Revision">
    <w:name w:val="Revision"/>
    <w:hidden/>
    <w:uiPriority w:val="99"/>
    <w:semiHidden/>
    <w:rsid w:val="00826696"/>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2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visor.mn.gov/" TargetMode="External"/><Relationship Id="rId13" Type="http://schemas.openxmlformats.org/officeDocument/2006/relationships/hyperlink" Target="https://www.revisor.mn.gov/statutes/cite/13"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revisor.mn.gov/statutes/?id=16B.98"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evisor.mn.gov/statutes/cite/270C.6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visor.mn.gov/statutes/?id=16B.98" TargetMode="External"/><Relationship Id="rId5" Type="http://schemas.openxmlformats.org/officeDocument/2006/relationships/footnotes" Target="footnotes.xml"/><Relationship Id="rId15" Type="http://schemas.openxmlformats.org/officeDocument/2006/relationships/hyperlink" Target="https://www.revisor.mn.gov/statutes/cite/176.181" TargetMode="External"/><Relationship Id="rId10" Type="http://schemas.openxmlformats.org/officeDocument/2006/relationships/hyperlink" Target="https://www.revisor.mn.gov/statutes/?id=16B.9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visor.mn.gov/statutes/?id=16B.97" TargetMode="External"/><Relationship Id="rId14" Type="http://schemas.openxmlformats.org/officeDocument/2006/relationships/hyperlink" Target="https://www.revisor.mn.gov/statutes/cite/13.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3530</Words>
  <Characters>20121</Characters>
  <Application>Microsoft Office Word</Application>
  <DocSecurity>8</DocSecurity>
  <Lines>167</Lines>
  <Paragraphs>47</Paragraphs>
  <ScaleCrop>false</ScaleCrop>
  <HeadingPairs>
    <vt:vector size="2" baseType="variant">
      <vt:variant>
        <vt:lpstr>Title</vt:lpstr>
      </vt:variant>
      <vt:variant>
        <vt:i4>1</vt:i4>
      </vt:variant>
    </vt:vector>
  </HeadingPairs>
  <TitlesOfParts>
    <vt:vector size="1" baseType="lpstr">
      <vt:lpstr>Sample grant agreement - Destructive Technology Test on PFAS Concentrate Grant</vt:lpstr>
    </vt:vector>
  </TitlesOfParts>
  <Manager>Sandra Simbeck</Manager>
  <Company>pca</Company>
  <LinksUpToDate>false</LinksUpToDate>
  <CharactersWithSpaces>23604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grant agreement - Destructive Technology Test on PFAS Concentrate Grant</dc:title>
  <dc:subject>Destructive Technology Test on PFAS Concentrate Grant - Sample grant agreement</dc:subject>
  <dc:creator>Minnesota Pollution Control Agency - Katie Christensen (Sandra Simbeck)</dc:creator>
  <cp:keywords>minnesota pollution control agency,p-f2-62c-fy25,grant agreement, p-f2-56c-fy23,destructive technology test,pfas concentrate grant</cp:keywords>
  <dc:description/>
  <cp:lastModifiedBy>Simbeck, Sandra (MPCA)</cp:lastModifiedBy>
  <cp:revision>8</cp:revision>
  <dcterms:created xsi:type="dcterms:W3CDTF">2025-02-19T21:52:00Z</dcterms:created>
  <dcterms:modified xsi:type="dcterms:W3CDTF">2025-04-09T19:36:00Z</dcterms:modified>
  <cp:category>planning,financial</cp:category>
</cp:coreProperties>
</file>