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7" w:type="dxa"/>
        <w:tblInd w:w="-9" w:type="dxa"/>
        <w:tblLayout w:type="fixed"/>
        <w:tblLook w:val="0000" w:firstRow="0" w:lastRow="0" w:firstColumn="0" w:lastColumn="0" w:noHBand="0" w:noVBand="0"/>
      </w:tblPr>
      <w:tblGrid>
        <w:gridCol w:w="9"/>
        <w:gridCol w:w="3978"/>
        <w:gridCol w:w="2070"/>
        <w:gridCol w:w="3240"/>
        <w:gridCol w:w="1440"/>
      </w:tblGrid>
      <w:tr w:rsidR="0084050F" w:rsidRPr="008F20DC" w14:paraId="6F516471" w14:textId="77777777" w:rsidTr="004A1442">
        <w:trPr>
          <w:gridBefore w:val="1"/>
          <w:wBefore w:w="9" w:type="dxa"/>
          <w:cantSplit/>
          <w:trHeight w:val="1206"/>
        </w:trPr>
        <w:tc>
          <w:tcPr>
            <w:tcW w:w="3978" w:type="dxa"/>
          </w:tcPr>
          <w:p w14:paraId="4C04F5BA" w14:textId="77777777" w:rsidR="0084050F" w:rsidRPr="008F20DC" w:rsidRDefault="0084050F" w:rsidP="004A1442">
            <w:pPr>
              <w:spacing w:before="120"/>
              <w:rPr>
                <w:rFonts w:ascii="Calibri" w:hAnsi="Calibri" w:cs="Arial"/>
                <w:sz w:val="22"/>
                <w:szCs w:val="22"/>
              </w:rPr>
            </w:pPr>
            <w:r w:rsidRPr="00EF7F37">
              <w:rPr>
                <w:noProof/>
              </w:rPr>
              <w:drawing>
                <wp:inline distT="0" distB="0" distL="0" distR="0" wp14:anchorId="1B577BCB" wp14:editId="0634CBAE">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6750" w:type="dxa"/>
            <w:gridSpan w:val="3"/>
          </w:tcPr>
          <w:p w14:paraId="7553C50C" w14:textId="77777777" w:rsidR="0084050F" w:rsidRPr="008F20DC" w:rsidRDefault="0084050F" w:rsidP="004A1442">
            <w:pPr>
              <w:pStyle w:val="Form-Title1"/>
              <w:spacing w:before="0"/>
              <w:rPr>
                <w:szCs w:val="40"/>
              </w:rPr>
            </w:pPr>
            <w:r w:rsidRPr="008F20DC">
              <w:rPr>
                <w:szCs w:val="40"/>
              </w:rPr>
              <w:t>Grant Agreement</w:t>
            </w:r>
          </w:p>
          <w:p w14:paraId="29BB4D74" w14:textId="77777777" w:rsidR="0084050F" w:rsidRPr="00D07E48" w:rsidRDefault="0084050F" w:rsidP="004A1442">
            <w:pPr>
              <w:pStyle w:val="Form-Title3"/>
              <w:spacing w:before="120"/>
              <w:rPr>
                <w:rFonts w:ascii="Arial" w:hAnsi="Arial" w:cs="Arial"/>
                <w:b/>
              </w:rPr>
            </w:pPr>
            <w:r w:rsidRPr="00D07E48">
              <w:rPr>
                <w:rFonts w:ascii="Arial" w:hAnsi="Arial" w:cs="Arial"/>
                <w:b/>
              </w:rPr>
              <w:t>State of Minnesota</w:t>
            </w:r>
          </w:p>
          <w:p w14:paraId="11972ACB" w14:textId="77777777" w:rsidR="0084050F" w:rsidRPr="008F20DC" w:rsidRDefault="0084050F" w:rsidP="004A1442">
            <w:pPr>
              <w:pStyle w:val="Form-Title4"/>
              <w:rPr>
                <w:rFonts w:ascii="Calibri" w:hAnsi="Calibri"/>
                <w:sz w:val="22"/>
                <w:szCs w:val="22"/>
              </w:rPr>
            </w:pPr>
            <w:r w:rsidRPr="008F20DC">
              <w:t>Doc Type:  Contract/Grant Reference</w:t>
            </w:r>
          </w:p>
        </w:tc>
      </w:tr>
      <w:tr w:rsidR="0084050F" w:rsidRPr="008F20DC" w14:paraId="7288024D" w14:textId="77777777" w:rsidTr="004A1442">
        <w:tblPrEx>
          <w:tblCellMar>
            <w:left w:w="43" w:type="dxa"/>
            <w:right w:w="43" w:type="dxa"/>
          </w:tblCellMar>
          <w:tblLook w:val="04A0" w:firstRow="1" w:lastRow="0" w:firstColumn="1" w:lastColumn="0" w:noHBand="0" w:noVBand="1"/>
        </w:tblPrEx>
        <w:tc>
          <w:tcPr>
            <w:tcW w:w="9297" w:type="dxa"/>
            <w:gridSpan w:val="4"/>
            <w:shd w:val="clear" w:color="auto" w:fill="auto"/>
            <w:vAlign w:val="bottom"/>
          </w:tcPr>
          <w:p w14:paraId="208733D2" w14:textId="77777777" w:rsidR="0084050F" w:rsidRPr="008F20DC" w:rsidRDefault="0084050F" w:rsidP="004A1442">
            <w:pPr>
              <w:pStyle w:val="Form-Bodytext1"/>
              <w:jc w:val="right"/>
            </w:pPr>
            <w:r w:rsidRPr="008F20DC">
              <w:t>SWIFT Contract number:</w:t>
            </w:r>
          </w:p>
        </w:tc>
        <w:tc>
          <w:tcPr>
            <w:tcW w:w="1440" w:type="dxa"/>
            <w:shd w:val="clear" w:color="auto" w:fill="auto"/>
          </w:tcPr>
          <w:p w14:paraId="7DDBC0FF" w14:textId="77777777" w:rsidR="0084050F" w:rsidRPr="008F20DC" w:rsidRDefault="0084050F" w:rsidP="004A1442">
            <w:pPr>
              <w:pStyle w:val="Form-Bodytext1"/>
            </w:pPr>
          </w:p>
        </w:tc>
      </w:tr>
      <w:tr w:rsidR="0084050F" w:rsidRPr="008F20DC" w14:paraId="286C7693"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66CD33FD" w14:textId="77777777" w:rsidR="0084050F" w:rsidRPr="008F20DC" w:rsidRDefault="0084050F" w:rsidP="004A1442">
            <w:pPr>
              <w:pStyle w:val="Form-Bodytext1"/>
            </w:pPr>
          </w:p>
        </w:tc>
        <w:tc>
          <w:tcPr>
            <w:tcW w:w="3240" w:type="dxa"/>
            <w:shd w:val="clear" w:color="auto" w:fill="auto"/>
            <w:vAlign w:val="bottom"/>
          </w:tcPr>
          <w:p w14:paraId="69506007" w14:textId="77777777" w:rsidR="0084050F" w:rsidRPr="008F20DC" w:rsidRDefault="0084050F" w:rsidP="004A1442">
            <w:pPr>
              <w:pStyle w:val="Form-Bodytext1"/>
              <w:jc w:val="right"/>
            </w:pPr>
            <w:r w:rsidRPr="008F20DC">
              <w:t>AI:</w:t>
            </w:r>
          </w:p>
        </w:tc>
        <w:tc>
          <w:tcPr>
            <w:tcW w:w="1440" w:type="dxa"/>
            <w:shd w:val="clear" w:color="auto" w:fill="auto"/>
          </w:tcPr>
          <w:p w14:paraId="4B80D4B1" w14:textId="77777777" w:rsidR="0084050F" w:rsidRPr="008F20DC" w:rsidRDefault="0084050F" w:rsidP="004A1442">
            <w:pPr>
              <w:pStyle w:val="Form-Bodytext1"/>
            </w:pPr>
          </w:p>
        </w:tc>
      </w:tr>
      <w:tr w:rsidR="0084050F" w:rsidRPr="008F20DC" w14:paraId="122B8104"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640DAAEF" w14:textId="77777777" w:rsidR="0084050F" w:rsidRPr="008F20DC" w:rsidRDefault="0084050F" w:rsidP="004A1442">
            <w:pPr>
              <w:pStyle w:val="Form-Bodytext1"/>
            </w:pPr>
          </w:p>
        </w:tc>
        <w:tc>
          <w:tcPr>
            <w:tcW w:w="3240" w:type="dxa"/>
            <w:shd w:val="clear" w:color="auto" w:fill="auto"/>
            <w:vAlign w:val="bottom"/>
          </w:tcPr>
          <w:p w14:paraId="7B63823D" w14:textId="77777777" w:rsidR="0084050F" w:rsidRPr="008F20DC" w:rsidRDefault="0084050F" w:rsidP="004A1442">
            <w:pPr>
              <w:pStyle w:val="Form-Bodytext1"/>
              <w:jc w:val="right"/>
            </w:pPr>
            <w:r w:rsidRPr="008F20DC">
              <w:t>Activity ID:</w:t>
            </w:r>
          </w:p>
        </w:tc>
        <w:tc>
          <w:tcPr>
            <w:tcW w:w="1440" w:type="dxa"/>
            <w:shd w:val="clear" w:color="auto" w:fill="auto"/>
          </w:tcPr>
          <w:p w14:paraId="3388622F" w14:textId="77777777" w:rsidR="0084050F" w:rsidRPr="008F20DC" w:rsidRDefault="0084050F" w:rsidP="004A1442">
            <w:pPr>
              <w:pStyle w:val="Form-Bodytext1"/>
            </w:pPr>
          </w:p>
        </w:tc>
      </w:tr>
    </w:tbl>
    <w:p w14:paraId="2A01250F" w14:textId="77777777" w:rsidR="0084050F" w:rsidRPr="008F20DC" w:rsidRDefault="0084050F" w:rsidP="0084050F">
      <w:pPr>
        <w:spacing w:before="360" w:after="120"/>
        <w:rPr>
          <w:rFonts w:ascii="Arial" w:hAnsi="Arial" w:cs="Arial"/>
        </w:rPr>
      </w:pPr>
      <w:r w:rsidRPr="008F20DC">
        <w:rPr>
          <w:rFonts w:ascii="Arial" w:hAnsi="Arial" w:cs="Arial"/>
        </w:rPr>
        <w:t xml:space="preserve">This grant agreement is between the state of Minnesota, acting through its Commissioner of the </w:t>
      </w:r>
      <w:r w:rsidRPr="008F20DC">
        <w:rPr>
          <w:rFonts w:ascii="Arial" w:hAnsi="Arial" w:cs="Arial"/>
          <w:b/>
        </w:rPr>
        <w:t>Minnesota Pollution Control Agency</w:t>
      </w:r>
      <w:r w:rsidRPr="008F20DC">
        <w:rPr>
          <w:rFonts w:ascii="Arial" w:hAnsi="Arial" w:cs="Arial"/>
        </w:rPr>
        <w:t>, 520 Lafayette Road North, St. Paul, Minnesota 5515</w:t>
      </w:r>
      <w:r>
        <w:rPr>
          <w:rFonts w:ascii="Arial" w:hAnsi="Arial" w:cs="Arial"/>
        </w:rPr>
        <w:t>5-4194 (“MPCA” or “State”), and</w:t>
      </w:r>
      <w:r w:rsidRPr="008F20DC">
        <w:rPr>
          <w:rFonts w:ascii="Arial" w:hAnsi="Arial" w:cs="Arial"/>
        </w:rPr>
        <w:t xml:space="preserve"> </w:t>
      </w:r>
      <w:r w:rsidRPr="008F20DC">
        <w:rPr>
          <w:rFonts w:ascii="Arial" w:hAnsi="Arial" w:cs="Arial"/>
          <w:i/>
        </w:rPr>
        <w:t xml:space="preserve">name and address </w:t>
      </w:r>
      <w:r>
        <w:rPr>
          <w:rFonts w:ascii="Arial" w:hAnsi="Arial" w:cs="Arial"/>
        </w:rPr>
        <w:t xml:space="preserve">("Grantee"). (Note: All Minnesota Statute references can be found on the Minnesota Office of the Revisor of Statutes website at </w:t>
      </w:r>
      <w:hyperlink r:id="rId9" w:history="1">
        <w:r w:rsidRPr="00B574D0">
          <w:rPr>
            <w:rStyle w:val="Hyperlink"/>
            <w:rFonts w:ascii="Arial" w:hAnsi="Arial" w:cs="Arial"/>
          </w:rPr>
          <w:t>https://www.revisor.mn.gov/</w:t>
        </w:r>
      </w:hyperlink>
      <w:r>
        <w:rPr>
          <w:rFonts w:ascii="Arial" w:hAnsi="Arial" w:cs="Arial"/>
        </w:rPr>
        <w:t>.)</w:t>
      </w:r>
    </w:p>
    <w:p w14:paraId="08F7898B" w14:textId="77777777" w:rsidR="0084050F" w:rsidRPr="008F20DC" w:rsidRDefault="0084050F" w:rsidP="00B22740">
      <w:pPr>
        <w:pStyle w:val="Heading2"/>
        <w:rPr>
          <w:rStyle w:val="Form-Heading1Char"/>
          <w:rFonts w:cs="Times New Roman"/>
          <w:i w:val="0"/>
        </w:rPr>
      </w:pPr>
      <w:r w:rsidRPr="008F20DC">
        <w:rPr>
          <w:rStyle w:val="Form-Heading1Char"/>
          <w:rFonts w:cs="Times New Roman"/>
          <w:bCs w:val="0"/>
          <w:i w:val="0"/>
          <w:iCs w:val="0"/>
        </w:rPr>
        <w:t>Recitals</w:t>
      </w:r>
    </w:p>
    <w:p w14:paraId="1B644BDA"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Under Minn. Stat. § 116.03, subd. 2, the State is empowered to enter into this grant.</w:t>
      </w:r>
    </w:p>
    <w:p w14:paraId="71BEA011"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 xml:space="preserve">The State is in need of the </w:t>
      </w:r>
      <w:r w:rsidRPr="008F20DC">
        <w:rPr>
          <w:rFonts w:ascii="Arial" w:hAnsi="Arial" w:cs="Arial"/>
          <w:i/>
        </w:rPr>
        <w:t>project name</w:t>
      </w:r>
    </w:p>
    <w:p w14:paraId="390F9D05"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right="-18" w:hanging="360"/>
        <w:outlineLvl w:val="0"/>
        <w:rPr>
          <w:rFonts w:ascii="Arial" w:hAnsi="Arial" w:cs="Arial"/>
        </w:rPr>
      </w:pPr>
      <w:r w:rsidRPr="008F20DC">
        <w:rPr>
          <w:rFonts w:ascii="Arial" w:hAnsi="Arial" w:cs="Arial"/>
        </w:rPr>
        <w:t xml:space="preserve">Grantee will comply with required grants management policies and procedures set forth through </w:t>
      </w:r>
      <w:hyperlink r:id="rId10" w:history="1">
        <w:r>
          <w:rPr>
            <w:rFonts w:ascii="Arial" w:hAnsi="Arial" w:cs="Arial"/>
            <w:color w:val="0000FF"/>
            <w:u w:val="single"/>
          </w:rPr>
          <w:t>Minn. Stat. § </w:t>
        </w:r>
        <w:r w:rsidRPr="008F20DC">
          <w:rPr>
            <w:rFonts w:ascii="Arial" w:hAnsi="Arial" w:cs="Arial"/>
            <w:color w:val="0000FF"/>
            <w:u w:val="single"/>
          </w:rPr>
          <w:t>16B.97</w:t>
        </w:r>
      </w:hyperlink>
      <w:r w:rsidRPr="008F20DC">
        <w:rPr>
          <w:rFonts w:ascii="Arial" w:hAnsi="Arial" w:cs="Arial"/>
        </w:rPr>
        <w:t>, subd. 4(a)(1).</w:t>
      </w:r>
    </w:p>
    <w:p w14:paraId="27079193"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hanging="360"/>
        <w:outlineLvl w:val="0"/>
        <w:rPr>
          <w:rFonts w:ascii="Arial" w:hAnsi="Arial" w:cs="Arial"/>
          <w:color w:val="000000"/>
        </w:rPr>
      </w:pPr>
      <w:r w:rsidRPr="008F20DC">
        <w:rPr>
          <w:rFonts w:ascii="Arial" w:hAnsi="Arial" w:cs="Arial"/>
        </w:rPr>
        <w:t xml:space="preserve">The </w:t>
      </w:r>
      <w:r w:rsidRPr="008F20DC">
        <w:rPr>
          <w:rFonts w:ascii="Arial" w:hAnsi="Arial" w:cs="Arial"/>
          <w:color w:val="000000"/>
        </w:rPr>
        <w:t xml:space="preserve">Grantee represents that it is duly qualified and agrees to perform all services described in this grant agreement to the satisfaction of the State. Pursuant to </w:t>
      </w:r>
      <w:hyperlink r:id="rId11" w:history="1">
        <w:r w:rsidRPr="008F20DC">
          <w:rPr>
            <w:rFonts w:ascii="Arial" w:hAnsi="Arial" w:cs="Arial"/>
            <w:color w:val="0000FF"/>
            <w:u w:val="single"/>
          </w:rPr>
          <w:t>Minn. Stat. § 16B.98</w:t>
        </w:r>
      </w:hyperlink>
      <w:r w:rsidRPr="008F20DC">
        <w:rPr>
          <w:rFonts w:ascii="Arial" w:hAnsi="Arial" w:cs="Arial"/>
        </w:rPr>
        <w:t>,</w:t>
      </w:r>
      <w:r w:rsidRPr="008F20DC">
        <w:rPr>
          <w:rFonts w:ascii="Arial" w:hAnsi="Arial" w:cs="Arial"/>
          <w:color w:val="000000"/>
        </w:rPr>
        <w:t xml:space="preserve"> subd. 1, the Grantee agrees to minimize administrative costs as a condition of this grant.</w:t>
      </w:r>
    </w:p>
    <w:p w14:paraId="68687630" w14:textId="77777777" w:rsidR="0084050F" w:rsidRPr="008F20DC" w:rsidRDefault="0084050F" w:rsidP="00B22740">
      <w:pPr>
        <w:pStyle w:val="Heading2"/>
        <w:rPr>
          <w:rStyle w:val="Form-Heading1Char"/>
          <w:rFonts w:cs="Times New Roman"/>
          <w:b/>
          <w:bCs w:val="0"/>
          <w:i w:val="0"/>
          <w:iCs w:val="0"/>
        </w:rPr>
      </w:pPr>
      <w:r w:rsidRPr="008F20DC">
        <w:rPr>
          <w:rStyle w:val="Form-Heading1Char"/>
          <w:rFonts w:cs="Times New Roman"/>
          <w:bCs w:val="0"/>
          <w:i w:val="0"/>
          <w:iCs w:val="0"/>
        </w:rPr>
        <w:t>Grant Agreement</w:t>
      </w:r>
    </w:p>
    <w:p w14:paraId="0A8AFBB6" w14:textId="77777777" w:rsidR="0084050F" w:rsidRPr="008F20DC" w:rsidRDefault="0084050F" w:rsidP="0084050F">
      <w:pPr>
        <w:widowControl w:val="0"/>
        <w:numPr>
          <w:ilvl w:val="0"/>
          <w:numId w:val="6"/>
        </w:numPr>
        <w:autoSpaceDE w:val="0"/>
        <w:autoSpaceDN w:val="0"/>
        <w:adjustRightInd w:val="0"/>
        <w:outlineLvl w:val="0"/>
        <w:rPr>
          <w:rFonts w:ascii="Arial" w:hAnsi="Arial" w:cs="Arial"/>
          <w:b/>
          <w:bCs/>
          <w:color w:val="000000"/>
        </w:rPr>
      </w:pPr>
      <w:r w:rsidRPr="008F20DC">
        <w:rPr>
          <w:rFonts w:ascii="Arial" w:hAnsi="Arial" w:cs="Arial"/>
          <w:b/>
          <w:bCs/>
          <w:color w:val="000000"/>
        </w:rPr>
        <w:t>Term of Grant Agreement</w:t>
      </w:r>
    </w:p>
    <w:p w14:paraId="10E73AA7" w14:textId="77777777" w:rsidR="0084050F" w:rsidRPr="008F20DC" w:rsidRDefault="0084050F" w:rsidP="0084050F">
      <w:pPr>
        <w:widowControl w:val="0"/>
        <w:numPr>
          <w:ilvl w:val="1"/>
          <w:numId w:val="5"/>
        </w:numPr>
        <w:tabs>
          <w:tab w:val="left" w:pos="900"/>
        </w:tabs>
        <w:autoSpaceDE w:val="0"/>
        <w:autoSpaceDN w:val="0"/>
        <w:adjustRightInd w:val="0"/>
        <w:spacing w:before="120"/>
        <w:ind w:left="900" w:hanging="540"/>
        <w:rPr>
          <w:rFonts w:ascii="Arial" w:hAnsi="Arial" w:cs="Arial"/>
          <w:b/>
          <w:bCs/>
          <w:i/>
          <w:iCs/>
          <w:color w:val="000000"/>
        </w:rPr>
      </w:pPr>
      <w:r w:rsidRPr="008F20DC">
        <w:rPr>
          <w:rFonts w:ascii="Arial" w:hAnsi="Arial" w:cs="Arial"/>
          <w:b/>
          <w:bCs/>
          <w:i/>
          <w:iCs/>
        </w:rPr>
        <w:t>Effective date:</w:t>
      </w:r>
      <w:r>
        <w:rPr>
          <w:rFonts w:ascii="Arial" w:hAnsi="Arial" w:cs="Arial"/>
          <w:b/>
          <w:bCs/>
          <w:i/>
          <w:iCs/>
        </w:rPr>
        <w:t xml:space="preserve"> </w:t>
      </w:r>
      <w:r w:rsidRPr="008F20DC">
        <w:rPr>
          <w:rFonts w:ascii="Arial" w:hAnsi="Arial" w:cs="Arial"/>
          <w:b/>
          <w:bCs/>
          <w:i/>
          <w:iCs/>
        </w:rPr>
        <w:t>start date</w:t>
      </w:r>
      <w:r w:rsidRPr="008F20DC">
        <w:rPr>
          <w:rFonts w:ascii="Arial" w:hAnsi="Arial" w:cs="Arial"/>
        </w:rPr>
        <w:t>,</w:t>
      </w:r>
      <w:r w:rsidRPr="008F20DC">
        <w:rPr>
          <w:rFonts w:ascii="Arial" w:hAnsi="Arial" w:cs="Arial"/>
          <w:color w:val="000000"/>
        </w:rPr>
        <w:t xml:space="preserve"> </w:t>
      </w:r>
      <w:r w:rsidRPr="00B241D5">
        <w:rPr>
          <w:rFonts w:ascii="Arial" w:hAnsi="Arial" w:cs="Arial"/>
        </w:rPr>
        <w:t xml:space="preserve">Per </w:t>
      </w:r>
      <w:hyperlink r:id="rId12" w:history="1">
        <w:r w:rsidRPr="00B241D5">
          <w:rPr>
            <w:rStyle w:val="Hyperlink"/>
            <w:rFonts w:ascii="Arial" w:hAnsi="Arial" w:cs="Arial"/>
          </w:rPr>
          <w:t>Minn. Stat.§16B.98</w:t>
        </w:r>
      </w:hyperlink>
      <w:r w:rsidRPr="00B241D5">
        <w:rPr>
          <w:rFonts w:ascii="Arial" w:hAnsi="Arial" w:cs="Arial"/>
        </w:rPr>
        <w:t>, subd. 5</w:t>
      </w:r>
      <w:r w:rsidRPr="00B241D5">
        <w:rPr>
          <w:rFonts w:ascii="Arial" w:hAnsi="Arial" w:cs="Arial"/>
          <w:i/>
          <w:iCs/>
        </w:rPr>
        <w:t>,</w:t>
      </w:r>
      <w:r w:rsidRPr="00B241D5">
        <w:rPr>
          <w:rFonts w:ascii="Arial" w:hAnsi="Arial" w:cs="Arial"/>
        </w:rPr>
        <w:t xml:space="preserve"> the Grantee must not begin work until this grant contract is fully executed and the State's Authorized Representative has notified the Grantee that work may commence. </w:t>
      </w:r>
      <w:r w:rsidRPr="008F20DC">
        <w:rPr>
          <w:rFonts w:ascii="Arial" w:hAnsi="Arial" w:cs="Arial"/>
          <w:color w:val="000000"/>
        </w:rPr>
        <w:t xml:space="preserve">Per </w:t>
      </w:r>
      <w:hyperlink r:id="rId13" w:history="1">
        <w:r w:rsidRPr="008F20DC">
          <w:rPr>
            <w:rFonts w:ascii="Arial" w:hAnsi="Arial" w:cs="Arial"/>
            <w:color w:val="0000FF"/>
            <w:u w:val="single"/>
          </w:rPr>
          <w:t>Minn. Stat. § 16B.98</w:t>
        </w:r>
      </w:hyperlink>
      <w:r w:rsidRPr="008F20DC">
        <w:rPr>
          <w:rFonts w:ascii="Arial" w:hAnsi="Arial" w:cs="Arial"/>
        </w:rPr>
        <w:t xml:space="preserve">, </w:t>
      </w:r>
      <w:r w:rsidRPr="008F20DC">
        <w:rPr>
          <w:rFonts w:ascii="Arial" w:hAnsi="Arial" w:cs="Arial"/>
          <w:color w:val="000000"/>
        </w:rPr>
        <w:t>subd. 7, no payments will be made to the Grantee until this grant agreement is fully executed.</w:t>
      </w:r>
      <w:r w:rsidRPr="008F20DC">
        <w:rPr>
          <w:rFonts w:ascii="Arial" w:hAnsi="Arial" w:cs="Arial"/>
        </w:rPr>
        <w:t xml:space="preserve"> </w:t>
      </w:r>
    </w:p>
    <w:p w14:paraId="11C1E1BA" w14:textId="77777777" w:rsidR="0084050F" w:rsidRPr="008F20DC" w:rsidRDefault="0084050F" w:rsidP="0084050F">
      <w:pPr>
        <w:pStyle w:val="ListParagraph"/>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rPr>
        <w:t>Expiration date: end date</w:t>
      </w:r>
      <w:r w:rsidRPr="008F20DC">
        <w:rPr>
          <w:rFonts w:ascii="Arial" w:hAnsi="Arial" w:cs="Arial"/>
        </w:rPr>
        <w:t xml:space="preserve">, </w:t>
      </w:r>
      <w:r w:rsidRPr="008F20DC">
        <w:rPr>
          <w:rFonts w:ascii="Arial" w:hAnsi="Arial" w:cs="Arial"/>
          <w:color w:val="000000"/>
        </w:rPr>
        <w:t>or until all obligations have been satisfactorily fulfilled, whichever occurs first.</w:t>
      </w:r>
    </w:p>
    <w:p w14:paraId="55FD53DE" w14:textId="77777777" w:rsidR="0084050F" w:rsidRPr="008F20DC" w:rsidRDefault="0084050F" w:rsidP="0084050F">
      <w:pPr>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color w:val="000000"/>
        </w:rPr>
        <w:t>Survival of terms</w:t>
      </w:r>
      <w:r w:rsidRPr="008F20DC">
        <w:rPr>
          <w:rFonts w:ascii="Arial" w:hAnsi="Arial" w:cs="Arial"/>
          <w:b/>
          <w:bCs/>
          <w:color w:val="000000"/>
        </w:rPr>
        <w:t>.</w:t>
      </w:r>
      <w:r w:rsidRPr="008F20DC">
        <w:rPr>
          <w:rFonts w:ascii="Arial" w:hAnsi="Arial" w:cs="Arial"/>
          <w:color w:val="000000"/>
        </w:rPr>
        <w:t xml:space="preserve"> The following clauses survive the expiration or cancellation of this grant agreement: Indemnification; State Audits; Government Data Practices and Intellectual Property; Publicity and Endorsement; Governing Law, Jurisdiction, and Venue; and Data Disclosure.</w:t>
      </w:r>
    </w:p>
    <w:p w14:paraId="7287476F"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color w:val="000000"/>
        </w:rPr>
      </w:pPr>
      <w:r w:rsidRPr="008F20DC">
        <w:rPr>
          <w:rFonts w:ascii="Arial" w:hAnsi="Arial" w:cs="Arial"/>
          <w:b/>
          <w:bCs/>
          <w:color w:val="000000"/>
        </w:rPr>
        <w:t xml:space="preserve">Grantee’s </w:t>
      </w:r>
      <w:r>
        <w:rPr>
          <w:rFonts w:ascii="Arial" w:hAnsi="Arial" w:cs="Arial"/>
          <w:b/>
          <w:bCs/>
          <w:color w:val="000000"/>
        </w:rPr>
        <w:t>d</w:t>
      </w:r>
      <w:r w:rsidRPr="008F20DC">
        <w:rPr>
          <w:rFonts w:ascii="Arial" w:hAnsi="Arial" w:cs="Arial"/>
          <w:b/>
          <w:bCs/>
          <w:color w:val="000000"/>
        </w:rPr>
        <w:t>uties</w:t>
      </w:r>
    </w:p>
    <w:p w14:paraId="706E69D1" w14:textId="1805AF42" w:rsidR="00B22740" w:rsidRPr="00B22740" w:rsidRDefault="00B22740" w:rsidP="00B22740">
      <w:pPr>
        <w:pStyle w:val="ListParagraph"/>
        <w:tabs>
          <w:tab w:val="left" w:pos="-360"/>
        </w:tabs>
        <w:ind w:left="360"/>
        <w:rPr>
          <w:rFonts w:cs="Arial"/>
          <w:color w:val="FF0000"/>
          <w:sz w:val="22"/>
          <w:szCs w:val="22"/>
        </w:rPr>
      </w:pPr>
      <w:r w:rsidRPr="00B22740">
        <w:rPr>
          <w:rFonts w:ascii="Arial" w:hAnsi="Arial" w:cs="Arial"/>
          <w:color w:val="000000"/>
        </w:rPr>
        <w:t xml:space="preserve">The Grantee, who is not a state employee, will purchase fishing tackle that </w:t>
      </w:r>
      <w:r w:rsidR="00C106F5" w:rsidRPr="00C106F5">
        <w:rPr>
          <w:rFonts w:ascii="Arial" w:hAnsi="Arial" w:cs="Arial"/>
          <w:color w:val="000000"/>
        </w:rPr>
        <w:t>does not contain solid lead parts or is not made of solid lead</w:t>
      </w:r>
      <w:r w:rsidRPr="00B22740">
        <w:rPr>
          <w:rFonts w:ascii="Arial" w:hAnsi="Arial" w:cs="Arial"/>
          <w:color w:val="000000"/>
        </w:rPr>
        <w:t xml:space="preserve"> to sell to consumers/the public at a price no more than the manufacturer's suggested retail price (MSRP). </w:t>
      </w:r>
    </w:p>
    <w:p w14:paraId="1CC1262E"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b/>
          <w:bCs/>
          <w:color w:val="000000"/>
        </w:rPr>
      </w:pPr>
      <w:r w:rsidRPr="008F20DC">
        <w:rPr>
          <w:rFonts w:ascii="Arial" w:hAnsi="Arial" w:cs="Arial"/>
          <w:b/>
          <w:bCs/>
          <w:color w:val="000000"/>
        </w:rPr>
        <w:t>Time</w:t>
      </w:r>
    </w:p>
    <w:p w14:paraId="38E26450" w14:textId="77777777" w:rsidR="0084050F" w:rsidRPr="008F20DC" w:rsidRDefault="0084050F" w:rsidP="0084050F">
      <w:pPr>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color w:val="000000"/>
        </w:rPr>
      </w:pPr>
      <w:r w:rsidRPr="008F20DC">
        <w:rPr>
          <w:rFonts w:ascii="Arial" w:hAnsi="Arial" w:cs="Arial"/>
          <w:color w:val="000000"/>
        </w:rPr>
        <w:t>The Grantee must comply with all the time requirements described in this grant agreement. In the performance of this grant agreement, time is of the essence.</w:t>
      </w:r>
    </w:p>
    <w:p w14:paraId="602F3457"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color w:val="000000"/>
        </w:rPr>
      </w:pPr>
      <w:r>
        <w:rPr>
          <w:rFonts w:ascii="Arial" w:hAnsi="Arial" w:cs="Arial"/>
          <w:b/>
          <w:bCs/>
          <w:color w:val="000000"/>
        </w:rPr>
        <w:t>Consideration and p</w:t>
      </w:r>
      <w:r w:rsidRPr="008F20DC">
        <w:rPr>
          <w:rFonts w:ascii="Arial" w:hAnsi="Arial" w:cs="Arial"/>
          <w:b/>
          <w:bCs/>
          <w:color w:val="000000"/>
        </w:rPr>
        <w:t>ayment</w:t>
      </w:r>
    </w:p>
    <w:p w14:paraId="0DF7E14C" w14:textId="77777777" w:rsidR="0084050F" w:rsidRPr="008F20DC" w:rsidRDefault="0084050F" w:rsidP="0084050F">
      <w:pPr>
        <w:widowControl w:val="0"/>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color w:val="000000"/>
        </w:rPr>
        <w:t>4.1</w:t>
      </w:r>
      <w:r w:rsidRPr="008F20DC">
        <w:rPr>
          <w:rFonts w:ascii="Arial" w:hAnsi="Arial" w:cs="Arial"/>
          <w:color w:val="000000"/>
        </w:rPr>
        <w:tab/>
      </w:r>
      <w:r w:rsidRPr="008F20DC">
        <w:rPr>
          <w:rFonts w:ascii="Arial" w:hAnsi="Arial" w:cs="Arial"/>
          <w:b/>
          <w:bCs/>
          <w:i/>
          <w:iCs/>
          <w:color w:val="000000"/>
        </w:rPr>
        <w:t>Consideration</w:t>
      </w:r>
      <w:r w:rsidRPr="008F20DC">
        <w:rPr>
          <w:rFonts w:ascii="Arial" w:hAnsi="Arial" w:cs="Arial"/>
          <w:color w:val="000000"/>
        </w:rPr>
        <w:t>. The State will pay for all services performed by the Grantee under this grant agreement as follows:</w:t>
      </w:r>
    </w:p>
    <w:p w14:paraId="798AE577" w14:textId="567C1CF4" w:rsidR="0084050F" w:rsidRPr="008F20DC" w:rsidRDefault="0084050F" w:rsidP="0084050F">
      <w:pPr>
        <w:widowControl w:val="0"/>
        <w:numPr>
          <w:ilvl w:val="0"/>
          <w:numId w:val="3"/>
        </w:numPr>
        <w:tabs>
          <w:tab w:val="left" w:pos="-360"/>
        </w:tabs>
        <w:autoSpaceDE w:val="0"/>
        <w:autoSpaceDN w:val="0"/>
        <w:adjustRightInd w:val="0"/>
        <w:spacing w:before="120"/>
        <w:ind w:left="1260"/>
        <w:outlineLvl w:val="2"/>
        <w:rPr>
          <w:rFonts w:ascii="Arial" w:hAnsi="Arial" w:cs="Arial"/>
          <w:i/>
        </w:rPr>
      </w:pPr>
      <w:r w:rsidRPr="008F20DC">
        <w:rPr>
          <w:rFonts w:ascii="Arial" w:hAnsi="Arial" w:cs="Arial"/>
          <w:b/>
          <w:bCs/>
          <w:i/>
          <w:iCs/>
        </w:rPr>
        <w:t>Compensation.</w:t>
      </w:r>
      <w:r w:rsidRPr="008F20DC">
        <w:rPr>
          <w:rFonts w:ascii="Arial" w:hAnsi="Arial" w:cs="Arial"/>
        </w:rPr>
        <w:t xml:space="preserve"> </w:t>
      </w:r>
      <w:r w:rsidR="00C51AE5" w:rsidRPr="00C51AE5">
        <w:rPr>
          <w:rFonts w:ascii="Arial" w:hAnsi="Arial" w:cs="Arial"/>
        </w:rPr>
        <w:t>The Grantee will be reimbursed for approved project expenses upon submission of MPCA approved invoices and copies of paid in full receipts</w:t>
      </w:r>
      <w:r>
        <w:rPr>
          <w:rFonts w:ascii="Arial" w:hAnsi="Arial" w:cs="Arial"/>
        </w:rPr>
        <w:t>.</w:t>
      </w:r>
    </w:p>
    <w:p w14:paraId="609203A9" w14:textId="77777777" w:rsidR="0084050F" w:rsidRPr="00AB1937" w:rsidRDefault="0084050F" w:rsidP="00861C1C">
      <w:pPr>
        <w:keepNext/>
        <w:keepLines/>
        <w:widowControl w:val="0"/>
        <w:numPr>
          <w:ilvl w:val="0"/>
          <w:numId w:val="3"/>
        </w:numPr>
        <w:tabs>
          <w:tab w:val="left" w:pos="-360"/>
        </w:tabs>
        <w:autoSpaceDE w:val="0"/>
        <w:autoSpaceDN w:val="0"/>
        <w:adjustRightInd w:val="0"/>
        <w:spacing w:before="120"/>
        <w:ind w:left="1267" w:right="-115"/>
        <w:outlineLvl w:val="2"/>
        <w:rPr>
          <w:rFonts w:ascii="Arial" w:hAnsi="Arial" w:cs="Arial"/>
        </w:rPr>
      </w:pPr>
      <w:r w:rsidRPr="00AB1937">
        <w:rPr>
          <w:rFonts w:ascii="Arial" w:hAnsi="Arial" w:cs="Arial"/>
          <w:b/>
          <w:bCs/>
          <w:i/>
          <w:iCs/>
        </w:rPr>
        <w:lastRenderedPageBreak/>
        <w:t>Travel expenses</w:t>
      </w:r>
      <w:r w:rsidRPr="00AB1937">
        <w:rPr>
          <w:rFonts w:ascii="Arial" w:hAnsi="Arial" w:cs="Arial"/>
          <w:b/>
          <w:bCs/>
        </w:rPr>
        <w:t>.</w:t>
      </w:r>
      <w:r w:rsidRPr="00AB1937">
        <w:rPr>
          <w:rFonts w:ascii="Arial" w:hAnsi="Arial" w:cs="Arial"/>
        </w:rPr>
        <w:t xml:space="preserve"> Reimbursement for travel and subsistence expenses actually and necessarily incurred by the Grantee as a result of this grant agreement will not exceed </w:t>
      </w:r>
      <w:r w:rsidRPr="00AB1937">
        <w:rPr>
          <w:rFonts w:ascii="Arial" w:hAnsi="Arial" w:cs="Arial"/>
          <w:color w:val="000000"/>
        </w:rPr>
        <w:t>$0.00;</w:t>
      </w:r>
      <w:r w:rsidRPr="00AB1937">
        <w:rPr>
          <w:rFonts w:ascii="Arial" w:hAnsi="Arial" w:cs="Arial"/>
        </w:rPr>
        <w:t xml:space="preserve"> provided that the Grantee will be reimbursed for travel and subsistence expenses in the same manner and in no greater amount than</w:t>
      </w:r>
      <w:r>
        <w:rPr>
          <w:rFonts w:ascii="Arial" w:hAnsi="Arial" w:cs="Arial"/>
        </w:rPr>
        <w:t xml:space="preserve"> </w:t>
      </w:r>
      <w:r w:rsidRPr="00AB1937">
        <w:rPr>
          <w:rFonts w:ascii="Arial" w:hAnsi="Arial" w:cs="Arial"/>
        </w:rPr>
        <w:t>provided in the current "Commissioner’s Plan” promulgated by the Commissioner of Minnesota Management and Budget (MMB). The Grantee will not be reimbursed for travel and subsistence expenses incurred outside Minnesota unless it has received the State’s prior written approval for out of state travel. Minnesota will be considered the home state for determining whether travel is out of state.</w:t>
      </w:r>
    </w:p>
    <w:p w14:paraId="5CA346EE" w14:textId="77777777" w:rsidR="0084050F" w:rsidRDefault="0084050F" w:rsidP="00861C1C">
      <w:pPr>
        <w:widowControl w:val="0"/>
        <w:numPr>
          <w:ilvl w:val="0"/>
          <w:numId w:val="3"/>
        </w:numPr>
        <w:tabs>
          <w:tab w:val="left" w:pos="-360"/>
        </w:tabs>
        <w:autoSpaceDE w:val="0"/>
        <w:autoSpaceDN w:val="0"/>
        <w:adjustRightInd w:val="0"/>
        <w:spacing w:before="120"/>
        <w:ind w:left="1260"/>
        <w:outlineLvl w:val="2"/>
        <w:rPr>
          <w:rFonts w:ascii="Arial" w:hAnsi="Arial" w:cs="Arial"/>
          <w:color w:val="000000"/>
        </w:rPr>
      </w:pPr>
      <w:r w:rsidRPr="008F20DC">
        <w:rPr>
          <w:rFonts w:ascii="Arial" w:hAnsi="Arial" w:cs="Arial"/>
          <w:b/>
          <w:bCs/>
          <w:i/>
          <w:iCs/>
        </w:rPr>
        <w:t>Total obligation</w:t>
      </w:r>
      <w:r w:rsidRPr="008F20DC">
        <w:rPr>
          <w:rFonts w:ascii="Arial" w:hAnsi="Arial" w:cs="Arial"/>
          <w:b/>
          <w:bCs/>
        </w:rPr>
        <w:t>.</w:t>
      </w:r>
      <w:r w:rsidRPr="008F20DC">
        <w:rPr>
          <w:rFonts w:ascii="Arial" w:hAnsi="Arial" w:cs="Arial"/>
        </w:rPr>
        <w:t xml:space="preserve"> The total obligation of the State for all compensation and reimbursements to the Grantee under this grant agreement will not exceed </w:t>
      </w:r>
      <w:r w:rsidRPr="008F20DC">
        <w:rPr>
          <w:rFonts w:ascii="Arial" w:hAnsi="Arial" w:cs="Arial"/>
          <w:b/>
          <w:color w:val="000000"/>
        </w:rPr>
        <w:t>$</w:t>
      </w:r>
      <w:r w:rsidRPr="008F20DC">
        <w:rPr>
          <w:rFonts w:ascii="Arial" w:hAnsi="Arial" w:cs="Arial"/>
          <w:b/>
          <w:i/>
          <w:color w:val="000000"/>
        </w:rPr>
        <w:t>dollar amount</w:t>
      </w:r>
      <w:r w:rsidRPr="008F20DC">
        <w:rPr>
          <w:rFonts w:ascii="Arial" w:hAnsi="Arial" w:cs="Arial"/>
          <w:color w:val="000000"/>
        </w:rPr>
        <w:t>.</w:t>
      </w:r>
    </w:p>
    <w:p w14:paraId="7EE4FECF" w14:textId="77777777" w:rsidR="0084050F" w:rsidRPr="008F20DC" w:rsidRDefault="0084050F" w:rsidP="0084050F">
      <w:pPr>
        <w:widowControl w:val="0"/>
        <w:tabs>
          <w:tab w:val="left" w:pos="-360"/>
          <w:tab w:val="left" w:pos="900"/>
        </w:tabs>
        <w:autoSpaceDE w:val="0"/>
        <w:autoSpaceDN w:val="0"/>
        <w:adjustRightInd w:val="0"/>
        <w:spacing w:before="120"/>
        <w:ind w:left="900" w:hanging="540"/>
        <w:rPr>
          <w:rFonts w:ascii="Arial" w:hAnsi="Arial" w:cs="Arial"/>
        </w:rPr>
      </w:pPr>
      <w:r w:rsidRPr="008F20DC">
        <w:rPr>
          <w:rFonts w:ascii="Arial" w:hAnsi="Arial" w:cs="Arial"/>
        </w:rPr>
        <w:t>4.2</w:t>
      </w:r>
      <w:r w:rsidRPr="008F20DC">
        <w:rPr>
          <w:rFonts w:ascii="Arial" w:hAnsi="Arial" w:cs="Arial"/>
          <w:b/>
          <w:bCs/>
        </w:rPr>
        <w:tab/>
      </w:r>
      <w:r w:rsidRPr="00961BE8">
        <w:rPr>
          <w:rFonts w:ascii="Arial" w:hAnsi="Arial" w:cs="Arial"/>
          <w:b/>
          <w:bCs/>
          <w:i/>
          <w:iCs/>
          <w:color w:val="000000"/>
        </w:rPr>
        <w:t>Payment</w:t>
      </w:r>
    </w:p>
    <w:p w14:paraId="3210500C" w14:textId="33FF20E1" w:rsidR="0084050F" w:rsidRPr="00C51AE5" w:rsidRDefault="0084050F" w:rsidP="005215DF">
      <w:pPr>
        <w:widowControl w:val="0"/>
        <w:numPr>
          <w:ilvl w:val="0"/>
          <w:numId w:val="8"/>
        </w:numPr>
        <w:tabs>
          <w:tab w:val="left" w:pos="-360"/>
        </w:tabs>
        <w:autoSpaceDE w:val="0"/>
        <w:autoSpaceDN w:val="0"/>
        <w:adjustRightInd w:val="0"/>
        <w:spacing w:before="120"/>
        <w:ind w:left="1260"/>
        <w:outlineLvl w:val="2"/>
        <w:rPr>
          <w:rFonts w:ascii="Arial" w:hAnsi="Arial" w:cs="Arial"/>
        </w:rPr>
      </w:pPr>
      <w:r w:rsidRPr="008F20DC">
        <w:rPr>
          <w:rFonts w:ascii="Arial" w:hAnsi="Arial" w:cs="Arial"/>
          <w:b/>
          <w:bCs/>
          <w:i/>
          <w:iCs/>
        </w:rPr>
        <w:t>Invoices.</w:t>
      </w:r>
      <w:r w:rsidRPr="008F20DC">
        <w:rPr>
          <w:rFonts w:ascii="Arial" w:hAnsi="Arial" w:cs="Arial"/>
        </w:rPr>
        <w:t xml:space="preserve"> The State will promptly pay the Grantee after the Grantee presents an itemized invoice for the services actually performed and the State’s Authorized Representative accepts the invoiced services. Invoices must be submitted timely and according to the </w:t>
      </w:r>
      <w:r w:rsidRPr="00C51AE5">
        <w:rPr>
          <w:rFonts w:ascii="Arial" w:hAnsi="Arial" w:cs="Arial"/>
        </w:rPr>
        <w:t xml:space="preserve">following schedule: </w:t>
      </w:r>
      <w:r w:rsidR="00C51AE5" w:rsidRPr="00C51AE5">
        <w:rPr>
          <w:rFonts w:ascii="Arial" w:hAnsi="Arial" w:cs="Arial"/>
          <w:b/>
        </w:rPr>
        <w:t>upon submission of MPCA approved invoices and copies of paid in full receipts</w:t>
      </w:r>
      <w:r w:rsidRPr="00C51AE5">
        <w:rPr>
          <w:rFonts w:ascii="Arial" w:hAnsi="Arial" w:cs="Arial"/>
          <w:color w:val="000000"/>
        </w:rPr>
        <w:t>.</w:t>
      </w:r>
    </w:p>
    <w:p w14:paraId="68CA4391" w14:textId="77777777" w:rsidR="00C51AE5" w:rsidRDefault="00C51AE5" w:rsidP="00C51AE5">
      <w:pPr>
        <w:pStyle w:val="ListParagraph"/>
        <w:ind w:left="1080"/>
        <w:outlineLvl w:val="0"/>
        <w:rPr>
          <w:rFonts w:ascii="Arial" w:hAnsi="Arial" w:cs="Arial"/>
        </w:rPr>
      </w:pPr>
    </w:p>
    <w:p w14:paraId="01912A96" w14:textId="395FA868" w:rsidR="00C51AE5" w:rsidRDefault="00C51AE5" w:rsidP="00C51AE5">
      <w:pPr>
        <w:pStyle w:val="ListParagraph"/>
        <w:ind w:left="1260"/>
        <w:outlineLvl w:val="0"/>
        <w:rPr>
          <w:rFonts w:ascii="Arial" w:hAnsi="Arial" w:cs="Arial"/>
        </w:rPr>
      </w:pPr>
      <w:r w:rsidRPr="00C51AE5">
        <w:rPr>
          <w:rFonts w:ascii="Arial" w:hAnsi="Arial" w:cs="Arial"/>
        </w:rPr>
        <w:t xml:space="preserve">Invoices must first be emailed to the State’s Authorized Representative Steven Yang </w:t>
      </w:r>
      <w:hyperlink r:id="rId14" w:history="1">
        <w:r w:rsidRPr="00C51AE5">
          <w:rPr>
            <w:rStyle w:val="Hyperlink"/>
            <w:rFonts w:ascii="Arial" w:hAnsi="Arial" w:cs="Arial"/>
          </w:rPr>
          <w:t>steven.yang@state.mn.us</w:t>
        </w:r>
      </w:hyperlink>
      <w:r w:rsidRPr="00C51AE5">
        <w:rPr>
          <w:rFonts w:ascii="Arial" w:hAnsi="Arial" w:cs="Arial"/>
        </w:rPr>
        <w:t>. The State’s Authorized Representative will review the invoices to determine the eligible fishing tackle and calculate a rebate amount (</w:t>
      </w:r>
      <w:r w:rsidR="00CA5987">
        <w:rPr>
          <w:rFonts w:ascii="Arial" w:hAnsi="Arial" w:cs="Arial"/>
        </w:rPr>
        <w:t>4</w:t>
      </w:r>
      <w:r w:rsidRPr="00C51AE5">
        <w:rPr>
          <w:rFonts w:ascii="Arial" w:hAnsi="Arial" w:cs="Arial"/>
        </w:rPr>
        <w:t xml:space="preserve">5% of eligible fishing tackle costs). The State’s Authorized Representative will reply with the anticipated rebate </w:t>
      </w:r>
      <w:r w:rsidR="00F90BB9">
        <w:rPr>
          <w:rFonts w:ascii="Arial" w:hAnsi="Arial" w:cs="Arial"/>
        </w:rPr>
        <w:t>amount, annotated invoices, and information for emailing Accounts Payable</w:t>
      </w:r>
    </w:p>
    <w:p w14:paraId="0C29F9EF" w14:textId="77777777" w:rsidR="00C51AE5" w:rsidRPr="00C51AE5" w:rsidRDefault="00C51AE5" w:rsidP="00C51AE5">
      <w:pPr>
        <w:pStyle w:val="ListParagraph"/>
        <w:ind w:left="1260"/>
        <w:outlineLvl w:val="0"/>
        <w:rPr>
          <w:rFonts w:ascii="Arial" w:hAnsi="Arial" w:cs="Arial"/>
        </w:rPr>
      </w:pPr>
    </w:p>
    <w:p w14:paraId="36DBB826" w14:textId="52939D17" w:rsidR="0084050F" w:rsidRPr="00C51AE5" w:rsidRDefault="00F90BB9" w:rsidP="00C51AE5">
      <w:pPr>
        <w:pStyle w:val="ListParagraph"/>
        <w:widowControl w:val="0"/>
        <w:autoSpaceDE w:val="0"/>
        <w:autoSpaceDN w:val="0"/>
        <w:adjustRightInd w:val="0"/>
        <w:spacing w:before="120"/>
        <w:ind w:left="1260"/>
        <w:outlineLvl w:val="0"/>
        <w:rPr>
          <w:rFonts w:ascii="Arial" w:hAnsi="Arial" w:cs="Arial"/>
        </w:rPr>
      </w:pPr>
      <w:r>
        <w:rPr>
          <w:rFonts w:ascii="Arial" w:hAnsi="Arial" w:cs="Arial"/>
        </w:rPr>
        <w:t>The annotated invoices</w:t>
      </w:r>
      <w:r w:rsidR="000D1720">
        <w:rPr>
          <w:rFonts w:ascii="Arial" w:hAnsi="Arial" w:cs="Arial"/>
        </w:rPr>
        <w:t xml:space="preserve"> and information </w:t>
      </w:r>
      <w:r>
        <w:rPr>
          <w:rFonts w:ascii="Arial" w:hAnsi="Arial" w:cs="Arial"/>
        </w:rPr>
        <w:t>sent by the State’s Authorized Representative</w:t>
      </w:r>
      <w:r w:rsidR="00C106F5">
        <w:rPr>
          <w:rFonts w:ascii="Arial" w:hAnsi="Arial" w:cs="Arial"/>
        </w:rPr>
        <w:t xml:space="preserve"> to the Grantee</w:t>
      </w:r>
      <w:r w:rsidRPr="00C51AE5">
        <w:rPr>
          <w:rFonts w:ascii="Arial" w:hAnsi="Arial" w:cs="Arial"/>
        </w:rPr>
        <w:t xml:space="preserve"> </w:t>
      </w:r>
      <w:r w:rsidR="00C51AE5" w:rsidRPr="00C51AE5">
        <w:rPr>
          <w:rFonts w:ascii="Arial" w:hAnsi="Arial" w:cs="Arial"/>
        </w:rPr>
        <w:t>must then be emailed to</w:t>
      </w:r>
      <w:r>
        <w:rPr>
          <w:rFonts w:ascii="Arial" w:hAnsi="Arial" w:cs="Arial"/>
        </w:rPr>
        <w:t xml:space="preserve"> Accounts Payable,</w:t>
      </w:r>
      <w:r w:rsidR="00C51AE5" w:rsidRPr="00C51AE5">
        <w:rPr>
          <w:rFonts w:ascii="Arial" w:hAnsi="Arial" w:cs="Arial"/>
        </w:rPr>
        <w:t xml:space="preserve"> </w:t>
      </w:r>
      <w:hyperlink r:id="rId15" w:history="1">
        <w:r w:rsidR="00C51AE5" w:rsidRPr="00C51AE5">
          <w:rPr>
            <w:rFonts w:ascii="Arial" w:hAnsi="Arial" w:cs="Arial"/>
            <w:color w:val="0000FF"/>
            <w:u w:val="single"/>
          </w:rPr>
          <w:t>mpca.ap@state.mn.us</w:t>
        </w:r>
      </w:hyperlink>
      <w:r w:rsidR="00907D99">
        <w:rPr>
          <w:rFonts w:ascii="Arial" w:hAnsi="Arial" w:cs="Arial"/>
          <w:color w:val="0000FF"/>
          <w:u w:val="single"/>
        </w:rPr>
        <w:t>.</w:t>
      </w:r>
      <w:r w:rsidR="0084050F" w:rsidRPr="00C51AE5">
        <w:rPr>
          <w:rFonts w:ascii="Arial" w:hAnsi="Arial" w:cs="Arial"/>
        </w:rPr>
        <w:t xml:space="preserve"> </w:t>
      </w:r>
    </w:p>
    <w:p w14:paraId="519E7B90" w14:textId="77777777" w:rsidR="0084050F" w:rsidRPr="008F20DC" w:rsidRDefault="0084050F" w:rsidP="0084050F">
      <w:pPr>
        <w:widowControl w:val="0"/>
        <w:autoSpaceDE w:val="0"/>
        <w:autoSpaceDN w:val="0"/>
        <w:adjustRightInd w:val="0"/>
        <w:spacing w:before="120"/>
        <w:ind w:left="1260"/>
        <w:outlineLvl w:val="0"/>
        <w:rPr>
          <w:rFonts w:ascii="Arial" w:hAnsi="Arial" w:cs="Arial"/>
        </w:rPr>
      </w:pPr>
      <w:r w:rsidRPr="008F20DC">
        <w:rPr>
          <w:rFonts w:ascii="Arial" w:hAnsi="Arial" w:cs="Arial"/>
        </w:rPr>
        <w:t>If there is a problem with submitting an invoice electronically, please contact the Accounts Payable Unit at 651-757-2491.</w:t>
      </w:r>
    </w:p>
    <w:p w14:paraId="47F7180E" w14:textId="77777777" w:rsidR="0084050F" w:rsidRPr="008F20DC" w:rsidRDefault="0084050F" w:rsidP="0084050F">
      <w:pPr>
        <w:widowControl w:val="0"/>
        <w:autoSpaceDE w:val="0"/>
        <w:autoSpaceDN w:val="0"/>
        <w:adjustRightInd w:val="0"/>
        <w:spacing w:before="120"/>
        <w:ind w:left="1260"/>
        <w:outlineLvl w:val="0"/>
        <w:rPr>
          <w:rFonts w:ascii="Arial" w:hAnsi="Arial" w:cs="Arial"/>
        </w:rPr>
      </w:pPr>
      <w:r w:rsidRPr="008F20DC">
        <w:rPr>
          <w:rFonts w:ascii="Arial" w:hAnsi="Arial" w:cs="Arial"/>
        </w:rPr>
        <w:t xml:space="preserve">The Grantee shall submit an invoice for the final payment within </w:t>
      </w:r>
      <w:r>
        <w:rPr>
          <w:rFonts w:ascii="Arial" w:hAnsi="Arial" w:cs="Arial"/>
        </w:rPr>
        <w:t>15</w:t>
      </w:r>
      <w:r w:rsidRPr="008F20DC">
        <w:rPr>
          <w:rFonts w:ascii="Arial" w:hAnsi="Arial" w:cs="Arial"/>
        </w:rPr>
        <w:t xml:space="preserve"> (</w:t>
      </w:r>
      <w:r>
        <w:rPr>
          <w:rFonts w:ascii="Arial" w:hAnsi="Arial" w:cs="Arial"/>
        </w:rPr>
        <w:t>fifteen</w:t>
      </w:r>
      <w:r w:rsidRPr="008F20DC">
        <w:rPr>
          <w:rFonts w:ascii="Arial" w:hAnsi="Arial" w:cs="Arial"/>
        </w:rPr>
        <w:t xml:space="preserve">) days of the original or amended end date of this grant agreement. The State reserves the right to review submitted invoices after </w:t>
      </w:r>
      <w:r>
        <w:rPr>
          <w:rFonts w:ascii="Arial" w:hAnsi="Arial" w:cs="Arial"/>
        </w:rPr>
        <w:t>15</w:t>
      </w:r>
      <w:r w:rsidRPr="008F20DC">
        <w:rPr>
          <w:rFonts w:ascii="Arial" w:hAnsi="Arial" w:cs="Arial"/>
        </w:rPr>
        <w:t xml:space="preserve"> (</w:t>
      </w:r>
      <w:r>
        <w:rPr>
          <w:rFonts w:ascii="Arial" w:hAnsi="Arial" w:cs="Arial"/>
        </w:rPr>
        <w:t>fifteen</w:t>
      </w:r>
      <w:r w:rsidRPr="008F20DC">
        <w:rPr>
          <w:rFonts w:ascii="Arial" w:hAnsi="Arial" w:cs="Arial"/>
        </w:rPr>
        <w:t>) days and make a determination as to payment.</w:t>
      </w:r>
    </w:p>
    <w:p w14:paraId="6D62BBA2" w14:textId="77777777" w:rsidR="0084050F" w:rsidRPr="008F20DC" w:rsidRDefault="0084050F" w:rsidP="0084050F">
      <w:pPr>
        <w:widowControl w:val="0"/>
        <w:numPr>
          <w:ilvl w:val="0"/>
          <w:numId w:val="8"/>
        </w:numPr>
        <w:tabs>
          <w:tab w:val="left" w:pos="-360"/>
        </w:tabs>
        <w:autoSpaceDE w:val="0"/>
        <w:autoSpaceDN w:val="0"/>
        <w:adjustRightInd w:val="0"/>
        <w:spacing w:before="120"/>
        <w:ind w:left="1260"/>
        <w:outlineLvl w:val="2"/>
        <w:rPr>
          <w:rFonts w:ascii="Arial" w:hAnsi="Arial" w:cs="Arial"/>
        </w:rPr>
      </w:pPr>
      <w:r w:rsidRPr="008F20DC">
        <w:rPr>
          <w:rFonts w:ascii="Arial" w:hAnsi="Arial" w:cs="Arial"/>
        </w:rPr>
        <w:t>The Grantee must promptly return to the State any unexpended funds that have not been accounted for annually in a financial report to the State due at grant closeout.</w:t>
      </w:r>
    </w:p>
    <w:p w14:paraId="7FC51AED" w14:textId="77777777" w:rsidR="0084050F" w:rsidRPr="008F20DC" w:rsidRDefault="0084050F" w:rsidP="0084050F">
      <w:pPr>
        <w:widowControl w:val="0"/>
        <w:tabs>
          <w:tab w:val="left" w:pos="-360"/>
          <w:tab w:val="left" w:pos="900"/>
        </w:tabs>
        <w:autoSpaceDE w:val="0"/>
        <w:autoSpaceDN w:val="0"/>
        <w:adjustRightInd w:val="0"/>
        <w:spacing w:before="120"/>
        <w:ind w:left="900" w:hanging="540"/>
        <w:rPr>
          <w:rFonts w:ascii="Arial" w:hAnsi="Arial" w:cs="Arial"/>
          <w:b/>
        </w:rPr>
      </w:pPr>
      <w:r w:rsidRPr="008F20DC">
        <w:rPr>
          <w:rFonts w:ascii="Arial" w:hAnsi="Arial" w:cs="Arial"/>
        </w:rPr>
        <w:t>4.3</w:t>
      </w:r>
      <w:r>
        <w:rPr>
          <w:rFonts w:ascii="Arial" w:hAnsi="Arial" w:cs="Arial"/>
        </w:rPr>
        <w:tab/>
      </w:r>
      <w:r w:rsidRPr="00961BE8">
        <w:rPr>
          <w:rFonts w:ascii="Arial" w:hAnsi="Arial" w:cs="Arial"/>
          <w:b/>
          <w:bCs/>
          <w:i/>
          <w:iCs/>
          <w:color w:val="000000"/>
        </w:rPr>
        <w:t>Contracting</w:t>
      </w:r>
      <w:r w:rsidRPr="008F20DC">
        <w:rPr>
          <w:rFonts w:ascii="Arial" w:hAnsi="Arial" w:cs="Arial"/>
          <w:b/>
        </w:rPr>
        <w:t xml:space="preserve"> </w:t>
      </w:r>
      <w:r w:rsidRPr="00961BE8">
        <w:rPr>
          <w:rFonts w:ascii="Arial" w:hAnsi="Arial" w:cs="Arial"/>
          <w:b/>
          <w:bCs/>
          <w:i/>
          <w:iCs/>
          <w:color w:val="000000"/>
        </w:rPr>
        <w:t>and</w:t>
      </w:r>
      <w:r w:rsidRPr="008F20DC">
        <w:rPr>
          <w:rFonts w:ascii="Arial" w:hAnsi="Arial" w:cs="Arial"/>
          <w:b/>
        </w:rPr>
        <w:t xml:space="preserve"> </w:t>
      </w:r>
      <w:r w:rsidRPr="00961BE8">
        <w:rPr>
          <w:rFonts w:ascii="Arial" w:hAnsi="Arial" w:cs="Arial"/>
          <w:b/>
          <w:bCs/>
          <w:i/>
          <w:iCs/>
          <w:color w:val="000000"/>
        </w:rPr>
        <w:t>bidding</w:t>
      </w:r>
      <w:r w:rsidRPr="008F20DC">
        <w:rPr>
          <w:rFonts w:ascii="Arial" w:hAnsi="Arial" w:cs="Arial"/>
          <w:b/>
        </w:rPr>
        <w:t xml:space="preserve"> </w:t>
      </w:r>
      <w:r w:rsidRPr="00961BE8">
        <w:rPr>
          <w:rFonts w:ascii="Arial" w:hAnsi="Arial" w:cs="Arial"/>
          <w:b/>
          <w:bCs/>
          <w:i/>
          <w:iCs/>
          <w:color w:val="000000"/>
        </w:rPr>
        <w:t>requirements</w:t>
      </w:r>
    </w:p>
    <w:p w14:paraId="36D1110F" w14:textId="77777777" w:rsidR="00CA5987" w:rsidRPr="00CA5987" w:rsidRDefault="00CA5987" w:rsidP="005215DF">
      <w:pPr>
        <w:widowControl w:val="0"/>
        <w:numPr>
          <w:ilvl w:val="0"/>
          <w:numId w:val="11"/>
        </w:numPr>
        <w:autoSpaceDE w:val="0"/>
        <w:autoSpaceDN w:val="0"/>
        <w:adjustRightInd w:val="0"/>
        <w:spacing w:before="120"/>
        <w:ind w:left="1260"/>
        <w:rPr>
          <w:rFonts w:ascii="Arial" w:hAnsi="Arial" w:cs="Arial"/>
        </w:rPr>
      </w:pPr>
      <w:r w:rsidRPr="00CA5987">
        <w:rPr>
          <w:rFonts w:ascii="Arial" w:hAnsi="Arial" w:cs="Arial"/>
        </w:rPr>
        <w:t>The grantee must take all necessary affirmative steps to assure that targeted vendors from businesses with active certifications through these entities are used when possible:</w:t>
      </w:r>
    </w:p>
    <w:p w14:paraId="0D884A7D" w14:textId="77777777" w:rsidR="00CA5987" w:rsidRPr="00CA5987" w:rsidRDefault="0082039D" w:rsidP="00CA5987">
      <w:pPr>
        <w:pStyle w:val="ListParagraph"/>
        <w:numPr>
          <w:ilvl w:val="1"/>
          <w:numId w:val="11"/>
        </w:numPr>
        <w:spacing w:after="160" w:line="259" w:lineRule="auto"/>
        <w:ind w:left="1710"/>
        <w:rPr>
          <w:rStyle w:val="Hyperlink"/>
          <w:rFonts w:ascii="Arial" w:hAnsi="Arial" w:cs="Arial"/>
        </w:rPr>
      </w:pPr>
      <w:hyperlink r:id="rId16" w:history="1">
        <w:r w:rsidR="00CA5987" w:rsidRPr="00CA5987">
          <w:rPr>
            <w:rStyle w:val="Hyperlink"/>
            <w:rFonts w:ascii="Arial" w:hAnsi="Arial" w:cs="Arial"/>
          </w:rPr>
          <w:t>State Department of Administration's Certified Targeted Group, Economically Disadvantaged and Veteran-Owned Vendor List</w:t>
        </w:r>
      </w:hyperlink>
    </w:p>
    <w:p w14:paraId="409E4F50" w14:textId="77777777" w:rsidR="00CA5987" w:rsidRPr="00CA5987" w:rsidRDefault="00CA5987" w:rsidP="00CA5987">
      <w:pPr>
        <w:pStyle w:val="ListParagraph"/>
        <w:numPr>
          <w:ilvl w:val="1"/>
          <w:numId w:val="11"/>
        </w:numPr>
        <w:autoSpaceDN w:val="0"/>
        <w:spacing w:after="160" w:line="252" w:lineRule="auto"/>
        <w:ind w:left="1710"/>
        <w:rPr>
          <w:rFonts w:ascii="Arial" w:hAnsi="Arial" w:cs="Arial"/>
        </w:rPr>
      </w:pPr>
      <w:r w:rsidRPr="00CA5987">
        <w:rPr>
          <w:rFonts w:ascii="Arial" w:hAnsi="Arial" w:cs="Arial"/>
        </w:rPr>
        <w:t xml:space="preserve">Metropolitan Council Underutilized Business Program: MCUB: </w:t>
      </w:r>
      <w:hyperlink r:id="rId17" w:history="1">
        <w:r w:rsidRPr="00CA5987">
          <w:rPr>
            <w:rStyle w:val="Hyperlink"/>
            <w:rFonts w:ascii="Arial" w:hAnsi="Arial" w:cs="Arial"/>
          </w:rPr>
          <w:t>Metropolitan Council Underutilized Business Program</w:t>
        </w:r>
      </w:hyperlink>
    </w:p>
    <w:p w14:paraId="145588DB" w14:textId="5A8D3933" w:rsidR="00CA5987" w:rsidRPr="00CA5987" w:rsidRDefault="00CA5987" w:rsidP="00CA5987">
      <w:pPr>
        <w:pStyle w:val="ListParagraph"/>
        <w:numPr>
          <w:ilvl w:val="1"/>
          <w:numId w:val="11"/>
        </w:numPr>
        <w:autoSpaceDN w:val="0"/>
        <w:spacing w:after="160" w:line="252" w:lineRule="auto"/>
        <w:ind w:left="1710"/>
        <w:rPr>
          <w:rFonts w:ascii="Arial" w:hAnsi="Arial" w:cs="Arial"/>
        </w:rPr>
      </w:pPr>
      <w:r w:rsidRPr="00CA5987">
        <w:rPr>
          <w:rFonts w:ascii="Arial" w:hAnsi="Arial" w:cs="Arial"/>
        </w:rPr>
        <w:t>Small Business Certification Program through Hennepin County, Ramsey County, and City of St.</w:t>
      </w:r>
      <w:r w:rsidR="00861C1C">
        <w:rPr>
          <w:rFonts w:ascii="Arial" w:hAnsi="Arial" w:cs="Arial"/>
        </w:rPr>
        <w:t> </w:t>
      </w:r>
      <w:r w:rsidRPr="00CA5987">
        <w:rPr>
          <w:rFonts w:ascii="Arial" w:hAnsi="Arial" w:cs="Arial"/>
        </w:rPr>
        <w:t xml:space="preserve">Paul: </w:t>
      </w:r>
      <w:hyperlink r:id="rId18" w:history="1">
        <w:r w:rsidRPr="00CA5987">
          <w:rPr>
            <w:rStyle w:val="Hyperlink"/>
            <w:rFonts w:ascii="Arial" w:hAnsi="Arial" w:cs="Arial"/>
          </w:rPr>
          <w:t>Central Certification Directory</w:t>
        </w:r>
      </w:hyperlink>
    </w:p>
    <w:p w14:paraId="306FF667" w14:textId="77777777" w:rsidR="00CA5987" w:rsidRPr="00CA5987" w:rsidRDefault="00CA5987" w:rsidP="00CA5987">
      <w:pPr>
        <w:pStyle w:val="ListParagraph"/>
        <w:ind w:left="1260"/>
        <w:rPr>
          <w:rFonts w:ascii="Arial" w:hAnsi="Arial" w:cs="Arial"/>
          <w:color w:val="FF0000"/>
        </w:rPr>
      </w:pPr>
    </w:p>
    <w:p w14:paraId="524C93C6" w14:textId="77777777" w:rsidR="00CA5987" w:rsidRPr="00CA5987" w:rsidRDefault="00CA5987" w:rsidP="00CA5987">
      <w:pPr>
        <w:pStyle w:val="ListParagraph"/>
        <w:widowControl w:val="0"/>
        <w:numPr>
          <w:ilvl w:val="0"/>
          <w:numId w:val="11"/>
        </w:numPr>
        <w:autoSpaceDE w:val="0"/>
        <w:autoSpaceDN w:val="0"/>
        <w:adjustRightInd w:val="0"/>
        <w:spacing w:before="240" w:after="240"/>
        <w:ind w:left="1260"/>
        <w:rPr>
          <w:rFonts w:ascii="Arial" w:hAnsi="Arial" w:cs="Arial"/>
        </w:rPr>
      </w:pPr>
      <w:r w:rsidRPr="00CA5987">
        <w:rPr>
          <w:rFonts w:ascii="Arial" w:hAnsi="Arial" w:cs="Arial"/>
        </w:rPr>
        <w:t>The grantee must maintain written standards of conduct covering conflicts of interest and governing the actions of its employees engaged in the selection, award and administration of contracts.</w:t>
      </w:r>
    </w:p>
    <w:p w14:paraId="5ECE0246" w14:textId="77777777" w:rsidR="00CA5987" w:rsidRPr="00CA5987" w:rsidRDefault="00CA5987" w:rsidP="00CA5987">
      <w:pPr>
        <w:pStyle w:val="ListParagraph"/>
        <w:spacing w:before="240" w:after="240"/>
        <w:ind w:left="1260"/>
        <w:rPr>
          <w:rFonts w:ascii="Arial" w:hAnsi="Arial" w:cs="Arial"/>
          <w:color w:val="FF0000"/>
        </w:rPr>
      </w:pPr>
    </w:p>
    <w:p w14:paraId="203A0E20" w14:textId="752D1009" w:rsidR="00CA5987" w:rsidRPr="00CA5987" w:rsidRDefault="00CA5987" w:rsidP="00CA5987">
      <w:pPr>
        <w:pStyle w:val="ListParagraph"/>
        <w:widowControl w:val="0"/>
        <w:numPr>
          <w:ilvl w:val="0"/>
          <w:numId w:val="11"/>
        </w:numPr>
        <w:autoSpaceDE w:val="0"/>
        <w:autoSpaceDN w:val="0"/>
        <w:adjustRightInd w:val="0"/>
        <w:spacing w:after="240"/>
        <w:ind w:left="1260"/>
        <w:rPr>
          <w:rStyle w:val="Hyperlink"/>
          <w:rFonts w:ascii="Arial" w:hAnsi="Arial" w:cs="Arial"/>
        </w:rPr>
      </w:pPr>
      <w:r w:rsidRPr="00CA5987">
        <w:rPr>
          <w:rFonts w:ascii="Arial" w:hAnsi="Arial" w:cs="Arial"/>
        </w:rPr>
        <w:t xml:space="preserve">The grantee must not contract with vendors who are suspended or debarred in MN: </w:t>
      </w:r>
      <w:hyperlink r:id="rId19" w:tooltip="Debarred vendor report" w:history="1">
        <w:r w:rsidRPr="00CA5987">
          <w:rPr>
            <w:rStyle w:val="Hyperlink"/>
            <w:rFonts w:ascii="Arial" w:hAnsi="Arial" w:cs="Arial"/>
          </w:rPr>
          <w:t>https://mn.gov/admin/osp/government/suspended-debarred/</w:t>
        </w:r>
      </w:hyperlink>
      <w:r>
        <w:rPr>
          <w:rStyle w:val="Hyperlink"/>
          <w:rFonts w:ascii="Arial" w:hAnsi="Arial" w:cs="Arial"/>
        </w:rPr>
        <w:t xml:space="preserve">. </w:t>
      </w:r>
    </w:p>
    <w:p w14:paraId="2AA94DF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 xml:space="preserve">Conditions of </w:t>
      </w:r>
      <w:r>
        <w:rPr>
          <w:rFonts w:ascii="Arial" w:hAnsi="Arial" w:cs="Arial"/>
          <w:b/>
          <w:bCs/>
        </w:rPr>
        <w:t>p</w:t>
      </w:r>
      <w:r w:rsidRPr="008F20DC">
        <w:rPr>
          <w:rFonts w:ascii="Arial" w:hAnsi="Arial" w:cs="Arial"/>
          <w:b/>
          <w:bCs/>
        </w:rPr>
        <w:t>ayment</w:t>
      </w:r>
    </w:p>
    <w:p w14:paraId="3C1FC4C8" w14:textId="77777777" w:rsidR="0084050F" w:rsidRPr="008F20DC" w:rsidRDefault="0084050F" w:rsidP="0084050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rPr>
      </w:pPr>
      <w:r w:rsidRPr="008F20DC">
        <w:rPr>
          <w:rFonts w:ascii="Arial" w:hAnsi="Arial" w:cs="Arial"/>
        </w:rPr>
        <w:t>All services provided by the Grantee under this grant agreement must be performed to the State’s satisfaction, as determined at the sole discretion of the State’s Authorized Representative</w:t>
      </w:r>
      <w:r w:rsidRPr="008F20DC">
        <w:rPr>
          <w:rFonts w:ascii="Arial" w:hAnsi="Arial" w:cs="Arial"/>
          <w:b/>
          <w:color w:val="FF0000"/>
        </w:rPr>
        <w:t xml:space="preserve"> </w:t>
      </w:r>
      <w:r w:rsidRPr="008F20DC">
        <w:rPr>
          <w:rFonts w:ascii="Arial" w:hAnsi="Arial" w:cs="Arial"/>
        </w:rPr>
        <w:t>and in accordance with all applicable federal, state, and local laws, ordinances, rules, and regulations. The Grantee will not receive payment for work found by the State to be unsatisfactory or performed in violation of federal, state, or local law.</w:t>
      </w:r>
    </w:p>
    <w:p w14:paraId="29CD0945"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Authorized Representative</w:t>
      </w:r>
    </w:p>
    <w:p w14:paraId="39E96306" w14:textId="77777777" w:rsidR="0084050F" w:rsidRPr="008F20DC" w:rsidRDefault="0084050F" w:rsidP="0084050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ind w:left="360"/>
        <w:textAlignment w:val="baseline"/>
        <w:rPr>
          <w:rFonts w:ascii="Arial" w:hAnsi="Arial" w:cs="Arial"/>
          <w:color w:val="000000"/>
        </w:rPr>
      </w:pPr>
      <w:r w:rsidRPr="008F20DC">
        <w:rPr>
          <w:rFonts w:ascii="Arial" w:hAnsi="Arial" w:cs="Arial"/>
        </w:rPr>
        <w:t xml:space="preserve">The State's Authorized Representative is </w:t>
      </w:r>
      <w:r w:rsidRPr="008F20DC">
        <w:rPr>
          <w:rFonts w:ascii="Arial" w:hAnsi="Arial" w:cs="Arial"/>
          <w:i/>
        </w:rPr>
        <w:t xml:space="preserve">name, address, phone, email </w:t>
      </w:r>
      <w:r w:rsidRPr="008F20DC">
        <w:rPr>
          <w:rFonts w:ascii="Arial" w:hAnsi="Arial" w:cs="Arial"/>
        </w:rPr>
        <w:t xml:space="preserve">or his successor, and has the authority to monitor the Grantee’s performance and to accept the services provided under this </w:t>
      </w:r>
      <w:r w:rsidRPr="008F20DC">
        <w:rPr>
          <w:rFonts w:ascii="Arial" w:hAnsi="Arial" w:cs="Arial"/>
          <w:color w:val="000000"/>
        </w:rPr>
        <w:t>agreement.</w:t>
      </w:r>
    </w:p>
    <w:p w14:paraId="4988B78B" w14:textId="77777777" w:rsidR="0084050F" w:rsidRPr="008F20DC" w:rsidRDefault="0084050F" w:rsidP="0084050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spacing w:before="120"/>
        <w:ind w:left="360"/>
        <w:textAlignment w:val="baseline"/>
        <w:rPr>
          <w:rFonts w:ascii="Arial" w:hAnsi="Arial" w:cs="Arial"/>
        </w:rPr>
      </w:pPr>
      <w:r w:rsidRPr="008F20DC">
        <w:rPr>
          <w:rFonts w:ascii="Arial" w:hAnsi="Arial" w:cs="Arial"/>
        </w:rPr>
        <w:lastRenderedPageBreak/>
        <w:t xml:space="preserve">The Grantee’s Authorized Representative is </w:t>
      </w:r>
      <w:r w:rsidRPr="008F20DC">
        <w:rPr>
          <w:rFonts w:ascii="Arial" w:hAnsi="Arial" w:cs="Arial"/>
          <w:i/>
        </w:rPr>
        <w:t>name, address, phone, email</w:t>
      </w:r>
      <w:r w:rsidRPr="008F20DC">
        <w:rPr>
          <w:rFonts w:ascii="Arial" w:hAnsi="Arial" w:cs="Arial"/>
          <w:color w:val="000000"/>
        </w:rPr>
        <w:t xml:space="preserve"> </w:t>
      </w:r>
      <w:r w:rsidRPr="008F20DC">
        <w:rPr>
          <w:rFonts w:ascii="Arial" w:hAnsi="Arial" w:cs="Arial"/>
        </w:rPr>
        <w:t>or their successor. If the Grantee’s Authorized Representative changes at any time during this grant agreement, the Grantee must immediately notify the State.</w:t>
      </w:r>
    </w:p>
    <w:p w14:paraId="1CF62B96"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b/>
          <w:bCs/>
          <w:i/>
          <w:iCs/>
        </w:rPr>
      </w:pPr>
      <w:r w:rsidRPr="008F20DC">
        <w:rPr>
          <w:rFonts w:ascii="Arial" w:hAnsi="Arial" w:cs="Arial"/>
          <w:b/>
          <w:bCs/>
        </w:rPr>
        <w:t xml:space="preserve">Assignment, Amendments, Change Orders, Waiver, and </w:t>
      </w:r>
      <w:r>
        <w:rPr>
          <w:rFonts w:ascii="Arial" w:hAnsi="Arial" w:cs="Arial"/>
          <w:b/>
          <w:bCs/>
        </w:rPr>
        <w:t>Grant Agreement c</w:t>
      </w:r>
      <w:r w:rsidRPr="008F20DC">
        <w:rPr>
          <w:rFonts w:ascii="Arial" w:hAnsi="Arial" w:cs="Arial"/>
          <w:b/>
          <w:bCs/>
        </w:rPr>
        <w:t>omplete</w:t>
      </w:r>
    </w:p>
    <w:p w14:paraId="2AF2D609" w14:textId="77777777" w:rsidR="0084050F" w:rsidRPr="008F20DC" w:rsidRDefault="0084050F" w:rsidP="0084050F">
      <w:pPr>
        <w:tabs>
          <w:tab w:val="left" w:pos="-360"/>
        </w:tabs>
        <w:spacing w:before="120"/>
        <w:ind w:left="907" w:hanging="540"/>
        <w:rPr>
          <w:rFonts w:ascii="Arial" w:hAnsi="Arial" w:cs="Arial"/>
          <w:b/>
          <w:bCs/>
          <w:i/>
          <w:iCs/>
        </w:rPr>
      </w:pPr>
      <w:r w:rsidRPr="008F20DC">
        <w:rPr>
          <w:rFonts w:ascii="Arial" w:hAnsi="Arial" w:cs="Arial"/>
          <w:bCs/>
          <w:iCs/>
        </w:rPr>
        <w:t>7.1</w:t>
      </w:r>
      <w:r w:rsidRPr="008F20DC">
        <w:rPr>
          <w:rFonts w:ascii="Arial" w:hAnsi="Arial" w:cs="Arial"/>
          <w:bCs/>
          <w:iCs/>
        </w:rPr>
        <w:tab/>
      </w:r>
      <w:r w:rsidRPr="008F20DC">
        <w:rPr>
          <w:rFonts w:ascii="Arial" w:hAnsi="Arial" w:cs="Arial"/>
          <w:b/>
          <w:bCs/>
          <w:i/>
          <w:iCs/>
        </w:rPr>
        <w:t xml:space="preserve">Assignment. </w:t>
      </w:r>
      <w:r w:rsidRPr="008F20DC">
        <w:rPr>
          <w:rFonts w:ascii="Arial" w:hAnsi="Arial" w:cs="Arial"/>
          <w:bCs/>
          <w:iCs/>
        </w:rPr>
        <w:t>The Grantee shall neither assign nor transfer any rights or obligations under this grant agreement without the prior written consent of the State, approved by the same parties who executed and approved this grant agreement, or their successors in office.</w:t>
      </w:r>
    </w:p>
    <w:p w14:paraId="4109E81E" w14:textId="77777777" w:rsidR="0084050F" w:rsidRPr="008F20DC" w:rsidRDefault="0084050F" w:rsidP="0084050F">
      <w:pPr>
        <w:tabs>
          <w:tab w:val="left" w:pos="-360"/>
        </w:tabs>
        <w:spacing w:before="120"/>
        <w:ind w:left="907" w:hanging="540"/>
        <w:rPr>
          <w:rFonts w:ascii="Arial" w:hAnsi="Arial" w:cs="Arial"/>
          <w:bCs/>
          <w:i/>
          <w:iCs/>
        </w:rPr>
      </w:pPr>
      <w:r w:rsidRPr="008F20DC">
        <w:rPr>
          <w:rFonts w:ascii="Arial" w:hAnsi="Arial" w:cs="Arial"/>
          <w:bCs/>
          <w:iCs/>
        </w:rPr>
        <w:t>7.2</w:t>
      </w:r>
      <w:r w:rsidRPr="008F20DC">
        <w:rPr>
          <w:rFonts w:ascii="Arial" w:hAnsi="Arial" w:cs="Arial"/>
          <w:bCs/>
          <w:iCs/>
        </w:rPr>
        <w:tab/>
      </w:r>
      <w:r w:rsidRPr="008F20DC">
        <w:rPr>
          <w:rFonts w:ascii="Arial" w:hAnsi="Arial" w:cs="Arial"/>
          <w:b/>
          <w:bCs/>
          <w:i/>
          <w:iCs/>
        </w:rPr>
        <w:t xml:space="preserve">Amendments. </w:t>
      </w:r>
      <w:r w:rsidRPr="008F20DC">
        <w:rPr>
          <w:rFonts w:ascii="Arial" w:hAnsi="Arial" w:cs="Arial"/>
          <w:bCs/>
          <w:iCs/>
        </w:rPr>
        <w:t>Any amendments to this grant agreement must be in writing and will not be effective until it has been executed and approved by the same parties who executed and approved the original grant agreement, or their successors in office.</w:t>
      </w:r>
    </w:p>
    <w:p w14:paraId="341AA05D" w14:textId="77777777" w:rsidR="0084050F" w:rsidRPr="008F20DC" w:rsidRDefault="0084050F" w:rsidP="0084050F">
      <w:pPr>
        <w:spacing w:before="120"/>
        <w:ind w:left="907" w:hanging="540"/>
        <w:rPr>
          <w:rFonts w:ascii="Arial" w:hAnsi="Arial" w:cs="Arial"/>
        </w:rPr>
      </w:pPr>
      <w:r w:rsidRPr="008F20DC">
        <w:rPr>
          <w:rFonts w:ascii="Arial" w:eastAsia="Calibri" w:hAnsi="Arial" w:cs="Arial"/>
        </w:rPr>
        <w:t>7.3</w:t>
      </w:r>
      <w:r w:rsidRPr="008F20DC">
        <w:rPr>
          <w:rFonts w:ascii="Arial" w:eastAsia="Calibri" w:hAnsi="Arial" w:cs="Arial"/>
        </w:rPr>
        <w:tab/>
      </w:r>
      <w:r w:rsidRPr="008F20DC">
        <w:rPr>
          <w:rFonts w:ascii="Arial" w:eastAsia="Calibri" w:hAnsi="Arial" w:cs="Arial"/>
          <w:b/>
          <w:i/>
        </w:rPr>
        <w:t>Chang</w:t>
      </w:r>
      <w:r>
        <w:rPr>
          <w:rFonts w:ascii="Arial" w:eastAsia="Calibri" w:hAnsi="Arial" w:cs="Arial"/>
          <w:b/>
          <w:i/>
        </w:rPr>
        <w:t>e O</w:t>
      </w:r>
      <w:r w:rsidRPr="008F20DC">
        <w:rPr>
          <w:rFonts w:ascii="Arial" w:eastAsia="Calibri" w:hAnsi="Arial" w:cs="Arial"/>
          <w:b/>
          <w:i/>
        </w:rPr>
        <w:t xml:space="preserve">rders. </w:t>
      </w:r>
      <w:r w:rsidRPr="008F20DC">
        <w:rPr>
          <w:rFonts w:ascii="Arial" w:hAnsi="Arial" w:cs="Arial"/>
        </w:rPr>
        <w:t>If the State's Project Manager or the Grantee’s Authorized Representative identifies a change needed in the workplan and/or budget, either party may initiate a Change Order using the Change Order Form provided by the MPCA. Change Orders may not delay or jeopardize the success of the Project, alter the overall scope of the Project, increase or decrease the overall amount of the</w:t>
      </w:r>
      <w:r w:rsidRPr="008F20DC">
        <w:rPr>
          <w:rFonts w:ascii="Arial" w:hAnsi="Arial" w:cs="Arial"/>
          <w:color w:val="1F497D"/>
        </w:rPr>
        <w:t xml:space="preserve"> </w:t>
      </w:r>
      <w:r w:rsidRPr="008F20DC">
        <w:rPr>
          <w:rFonts w:ascii="Arial" w:hAnsi="Arial" w:cs="Arial"/>
        </w:rPr>
        <w:t>Contract/Agreement, or cause an extension of the term of this Agreement. Major changes require an Amendment rather than a Change Order.</w:t>
      </w:r>
    </w:p>
    <w:p w14:paraId="7C86E4FA" w14:textId="77777777" w:rsidR="0084050F" w:rsidRPr="008F20DC" w:rsidRDefault="0084050F" w:rsidP="0084050F">
      <w:pPr>
        <w:spacing w:before="120"/>
        <w:ind w:left="907"/>
        <w:rPr>
          <w:rFonts w:ascii="Arial" w:hAnsi="Arial" w:cs="Arial"/>
        </w:rPr>
      </w:pPr>
      <w:r w:rsidRPr="008F20DC">
        <w:rPr>
          <w:rFonts w:ascii="Arial" w:hAnsi="Arial" w:cs="Arial"/>
        </w:rPr>
        <w:t xml:space="preserve">The Change Order Form must be approved and signed by the State's Project Manager and the Grantee’s Authorized Representative </w:t>
      </w:r>
      <w:r w:rsidRPr="008F20DC">
        <w:rPr>
          <w:rFonts w:ascii="Arial" w:hAnsi="Arial" w:cs="Arial"/>
          <w:b/>
          <w:bCs/>
        </w:rPr>
        <w:t>in advance of doing the work</w:t>
      </w:r>
      <w:r>
        <w:rPr>
          <w:rFonts w:ascii="Arial" w:hAnsi="Arial" w:cs="Arial"/>
        </w:rPr>
        <w:t xml:space="preserve">. </w:t>
      </w:r>
      <w:r w:rsidRPr="008F20DC">
        <w:rPr>
          <w:rFonts w:ascii="Arial" w:hAnsi="Arial" w:cs="Arial"/>
        </w:rPr>
        <w:t>Documented changes will then become an integral and enforceable part of the Agreement</w:t>
      </w:r>
      <w:r>
        <w:rPr>
          <w:rFonts w:ascii="Arial" w:hAnsi="Arial" w:cs="Arial"/>
        </w:rPr>
        <w:t xml:space="preserve">. </w:t>
      </w:r>
      <w:r w:rsidRPr="008F20DC">
        <w:rPr>
          <w:rFonts w:ascii="Arial" w:hAnsi="Arial" w:cs="Arial"/>
        </w:rPr>
        <w:t>The MPCA has the sole discretion on the determination of whether a requested change is a Change Order or an Amendment</w:t>
      </w:r>
      <w:r>
        <w:rPr>
          <w:rFonts w:ascii="Arial" w:hAnsi="Arial" w:cs="Arial"/>
        </w:rPr>
        <w:t xml:space="preserve">. </w:t>
      </w:r>
      <w:r w:rsidRPr="008F20DC">
        <w:rPr>
          <w:rFonts w:ascii="Arial" w:hAnsi="Arial" w:cs="Arial"/>
        </w:rPr>
        <w:t>The state reserves the right to refuse any Change Order requests.</w:t>
      </w:r>
    </w:p>
    <w:p w14:paraId="5E0B38D0" w14:textId="77777777" w:rsidR="0084050F" w:rsidRPr="008F20DC" w:rsidRDefault="0084050F" w:rsidP="0084050F">
      <w:pPr>
        <w:tabs>
          <w:tab w:val="left" w:pos="-360"/>
        </w:tabs>
        <w:spacing w:before="120"/>
        <w:ind w:left="907" w:hanging="540"/>
        <w:rPr>
          <w:rFonts w:ascii="Arial" w:hAnsi="Arial" w:cs="Arial"/>
        </w:rPr>
      </w:pPr>
      <w:r w:rsidRPr="008F20DC">
        <w:rPr>
          <w:rFonts w:ascii="Arial" w:hAnsi="Arial" w:cs="Arial"/>
          <w:bCs/>
          <w:iCs/>
        </w:rPr>
        <w:t>7.4</w:t>
      </w:r>
      <w:r w:rsidRPr="008F20DC">
        <w:rPr>
          <w:rFonts w:ascii="Arial" w:hAnsi="Arial" w:cs="Arial"/>
          <w:b/>
          <w:bCs/>
          <w:i/>
          <w:iCs/>
        </w:rPr>
        <w:tab/>
        <w:t xml:space="preserve">Waiver. </w:t>
      </w:r>
      <w:r w:rsidRPr="008F20DC">
        <w:rPr>
          <w:rFonts w:ascii="Arial" w:hAnsi="Arial" w:cs="Arial"/>
        </w:rPr>
        <w:t>If the State fails to enforce any provision of this grant agreement, that failure does not waive the provision or the State’s right to enforce it.</w:t>
      </w:r>
    </w:p>
    <w:p w14:paraId="6F8F7646"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7.5</w:t>
      </w:r>
      <w:r w:rsidRPr="008F20DC">
        <w:rPr>
          <w:rFonts w:ascii="Arial" w:hAnsi="Arial" w:cs="Arial"/>
        </w:rPr>
        <w:tab/>
      </w:r>
      <w:r>
        <w:rPr>
          <w:rFonts w:ascii="Arial" w:hAnsi="Arial" w:cs="Arial"/>
          <w:b/>
          <w:bCs/>
          <w:i/>
          <w:iCs/>
        </w:rPr>
        <w:t>Grant A</w:t>
      </w:r>
      <w:r w:rsidRPr="008F20DC">
        <w:rPr>
          <w:rFonts w:ascii="Arial" w:hAnsi="Arial" w:cs="Arial"/>
          <w:b/>
          <w:bCs/>
          <w:i/>
          <w:iCs/>
        </w:rPr>
        <w:t>greement complete.</w:t>
      </w:r>
      <w:r w:rsidRPr="008F20DC">
        <w:rPr>
          <w:rFonts w:ascii="Arial" w:hAnsi="Arial" w:cs="Arial"/>
          <w:i/>
          <w:iCs/>
        </w:rPr>
        <w:t xml:space="preserve"> </w:t>
      </w:r>
      <w:r w:rsidRPr="008F20DC">
        <w:rPr>
          <w:rFonts w:ascii="Arial" w:hAnsi="Arial" w:cs="Arial"/>
        </w:rPr>
        <w:t>This grant agreement contains all negotiations and agreements between the State and the Grantee. No other understanding regarding this grant agreement, whether written or oral, may be used to bind either party.</w:t>
      </w:r>
    </w:p>
    <w:p w14:paraId="6DB95F27" w14:textId="77777777" w:rsidR="0084050F" w:rsidRPr="008F20DC" w:rsidRDefault="0084050F" w:rsidP="0084050F">
      <w:pPr>
        <w:keepNext/>
        <w:keepLines/>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Indemnification</w:t>
      </w:r>
    </w:p>
    <w:p w14:paraId="7B844197" w14:textId="77777777" w:rsidR="0084050F" w:rsidRPr="008F20DC" w:rsidRDefault="0084050F" w:rsidP="0084050F">
      <w:pPr>
        <w:keepNext/>
        <w:keepLines/>
        <w:widowControl w:val="0"/>
        <w:tabs>
          <w:tab w:val="left" w:pos="-360"/>
          <w:tab w:val="left" w:pos="0"/>
          <w:tab w:val="left" w:pos="27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ind w:left="360"/>
        <w:rPr>
          <w:rFonts w:ascii="Arial" w:hAnsi="Arial" w:cs="Arial"/>
        </w:rPr>
      </w:pPr>
      <w:r w:rsidRPr="008F20DC">
        <w:rPr>
          <w:rFonts w:ascii="Arial" w:hAnsi="Arial" w:cs="Arial"/>
        </w:rPr>
        <w:t>The Grantee must indemnify, save, and hold the State, its agents, and employees harmless from any claims or causes of action, including attorney’s fees incurred by the State, arising from the performance of this grant agreement by the Grantee or the Grantee’s agents or employees. This clause will not be construed to bar any legal remedies the Grantee may have for the State's failure to fulfill its obligations under this grant agreement.</w:t>
      </w:r>
    </w:p>
    <w:p w14:paraId="1BD549C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State audits</w:t>
      </w:r>
    </w:p>
    <w:p w14:paraId="607B0305" w14:textId="77777777" w:rsidR="0084050F" w:rsidRPr="008F20DC" w:rsidRDefault="0084050F" w:rsidP="0084050F">
      <w:pPr>
        <w:widowControl w:val="0"/>
        <w:autoSpaceDE w:val="0"/>
        <w:autoSpaceDN w:val="0"/>
        <w:adjustRightInd w:val="0"/>
        <w:ind w:left="360"/>
        <w:rPr>
          <w:rFonts w:ascii="Arial" w:hAnsi="Arial" w:cs="Arial"/>
        </w:rPr>
      </w:pPr>
      <w:r w:rsidRPr="008F20DC">
        <w:rPr>
          <w:rFonts w:ascii="Arial" w:hAnsi="Arial" w:cs="Arial"/>
        </w:rPr>
        <w:t xml:space="preserve">Under </w:t>
      </w:r>
      <w:hyperlink r:id="rId20" w:history="1">
        <w:r w:rsidRPr="008F20DC">
          <w:rPr>
            <w:rFonts w:ascii="Arial" w:hAnsi="Arial" w:cs="Arial"/>
            <w:color w:val="0000FF"/>
            <w:u w:val="single"/>
          </w:rPr>
          <w:t>Minn. Stat. § 16B.98</w:t>
        </w:r>
      </w:hyperlink>
      <w:r w:rsidRPr="008F20DC">
        <w:rPr>
          <w:rFonts w:ascii="Arial" w:hAnsi="Arial" w:cs="Arial"/>
        </w:rPr>
        <w:t>, subd.8, the Grantee’s books, records, documents, and accounting procedures and practices of the Grantee or other party relevant to this grant agreement or transaction are subject to examination by the State and/or the State Auditor or Legislative Auditor, as appropriate, for a minimum of six years from the end of this grant agreement, receipt and approval of all final reports, or the required period of time to satisfy all state and program retention requirements, whichever is later.</w:t>
      </w:r>
    </w:p>
    <w:p w14:paraId="6A2FC077"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Government data prac</w:t>
      </w:r>
      <w:r>
        <w:rPr>
          <w:rFonts w:ascii="Arial" w:hAnsi="Arial" w:cs="Arial"/>
          <w:b/>
          <w:bCs/>
        </w:rPr>
        <w:t>tices and intellectual property</w:t>
      </w:r>
    </w:p>
    <w:p w14:paraId="44F7736A"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10.1</w:t>
      </w:r>
      <w:r w:rsidRPr="008F20DC">
        <w:rPr>
          <w:rFonts w:ascii="Arial" w:hAnsi="Arial" w:cs="Arial"/>
        </w:rPr>
        <w:tab/>
      </w:r>
      <w:r w:rsidRPr="008F20DC">
        <w:rPr>
          <w:rFonts w:ascii="Arial" w:hAnsi="Arial" w:cs="Arial"/>
          <w:b/>
          <w:bCs/>
          <w:i/>
          <w:iCs/>
        </w:rPr>
        <w:t>Government data practices</w:t>
      </w:r>
      <w:r w:rsidRPr="008F20DC">
        <w:rPr>
          <w:rFonts w:ascii="Arial" w:hAnsi="Arial" w:cs="Arial"/>
        </w:rPr>
        <w:t xml:space="preserve">. The Grantee and State must comply with the Minnesota Government Data Practices Act, </w:t>
      </w:r>
      <w:hyperlink r:id="rId21" w:history="1">
        <w:r w:rsidRPr="008F20DC">
          <w:rPr>
            <w:rFonts w:ascii="Arial" w:hAnsi="Arial" w:cs="Arial"/>
            <w:color w:val="0000FF"/>
            <w:u w:val="single"/>
          </w:rPr>
          <w:t>Minn. Stat. Ch. 13</w:t>
        </w:r>
      </w:hyperlink>
      <w:r w:rsidRPr="008F20DC">
        <w:rPr>
          <w:rFonts w:ascii="Arial" w:hAnsi="Arial" w:cs="Arial"/>
        </w:rPr>
        <w:t xml:space="preserve">, as it applies to all data provided by the State under this grant agreement, and as it applies to all data created, collected, received, stored, used, maintained, or disseminated by the Grantee under this grant agreement. The civil remedies of </w:t>
      </w:r>
      <w:hyperlink r:id="rId22" w:history="1">
        <w:r w:rsidRPr="008F20DC">
          <w:rPr>
            <w:rFonts w:ascii="Arial" w:hAnsi="Arial" w:cs="Arial"/>
            <w:color w:val="0000FF"/>
            <w:u w:val="single"/>
          </w:rPr>
          <w:t>Minn. Stat. § 13.08</w:t>
        </w:r>
      </w:hyperlink>
      <w:r w:rsidRPr="008F20DC">
        <w:rPr>
          <w:rFonts w:ascii="Arial" w:hAnsi="Arial" w:cs="Arial"/>
        </w:rPr>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64138FB5" w14:textId="77777777" w:rsidR="0084050F" w:rsidRPr="008F20DC" w:rsidRDefault="0084050F" w:rsidP="0084050F">
      <w:pPr>
        <w:keepNext/>
        <w:tabs>
          <w:tab w:val="left" w:pos="-360"/>
        </w:tabs>
        <w:spacing w:before="120"/>
        <w:ind w:left="907" w:hanging="547"/>
        <w:rPr>
          <w:rFonts w:ascii="Arial" w:hAnsi="Arial" w:cs="Arial"/>
          <w:b/>
          <w:bCs/>
          <w:i/>
          <w:iCs/>
        </w:rPr>
      </w:pPr>
      <w:r w:rsidRPr="008F20DC">
        <w:rPr>
          <w:rFonts w:ascii="Arial" w:hAnsi="Arial" w:cs="Arial"/>
        </w:rPr>
        <w:t>10.2</w:t>
      </w:r>
      <w:r w:rsidRPr="008F20DC">
        <w:rPr>
          <w:rFonts w:ascii="Arial" w:hAnsi="Arial" w:cs="Arial"/>
        </w:rPr>
        <w:tab/>
      </w:r>
      <w:r w:rsidRPr="008F20DC">
        <w:rPr>
          <w:rFonts w:ascii="Arial" w:hAnsi="Arial" w:cs="Arial"/>
          <w:b/>
          <w:bCs/>
          <w:i/>
          <w:iCs/>
        </w:rPr>
        <w:t>Intellectual property rights</w:t>
      </w:r>
    </w:p>
    <w:p w14:paraId="5D7D09AA" w14:textId="77777777" w:rsidR="0084050F" w:rsidRPr="008F20DC" w:rsidRDefault="0084050F" w:rsidP="0084050F">
      <w:pPr>
        <w:widowControl w:val="0"/>
        <w:numPr>
          <w:ilvl w:val="0"/>
          <w:numId w:val="7"/>
        </w:numPr>
        <w:autoSpaceDE w:val="0"/>
        <w:autoSpaceDN w:val="0"/>
        <w:adjustRightInd w:val="0"/>
        <w:spacing w:before="120"/>
        <w:ind w:left="1260"/>
        <w:outlineLvl w:val="0"/>
        <w:rPr>
          <w:rFonts w:ascii="Arial" w:hAnsi="Arial" w:cs="Arial"/>
          <w:iCs/>
        </w:rPr>
      </w:pPr>
      <w:r w:rsidRPr="008F20DC">
        <w:rPr>
          <w:rFonts w:ascii="Arial" w:hAnsi="Arial" w:cs="Arial"/>
          <w:b/>
          <w:i/>
        </w:rPr>
        <w:t>Intellectual property rights.</w:t>
      </w:r>
      <w:r w:rsidRPr="008F20DC">
        <w:rPr>
          <w:rFonts w:ascii="Arial" w:hAnsi="Arial" w:cs="Arial"/>
        </w:rPr>
        <w:t xml:space="preserve"> The State owns all rights, title and interest in all of the intellectual property rights, including copyrights, patents, trade secrets, trademarks, and service marks in the Works and Documents </w:t>
      </w:r>
      <w:r w:rsidRPr="008F20DC">
        <w:rPr>
          <w:rFonts w:ascii="Arial" w:hAnsi="Arial" w:cs="Arial"/>
          <w:iCs/>
        </w:rPr>
        <w:t xml:space="preserve">created and paid for under this </w:t>
      </w:r>
      <w:r w:rsidRPr="008F20DC">
        <w:rPr>
          <w:rFonts w:ascii="Arial" w:hAnsi="Arial" w:cs="Arial"/>
        </w:rPr>
        <w:t>grant agreement</w:t>
      </w:r>
      <w:r w:rsidRPr="008F20DC">
        <w:rPr>
          <w:rFonts w:ascii="Arial" w:hAnsi="Arial" w:cs="Arial"/>
          <w:iCs/>
        </w:rPr>
        <w:t xml:space="preserve">. </w:t>
      </w:r>
      <w:r w:rsidRPr="008F20DC">
        <w:rPr>
          <w:rFonts w:ascii="Arial" w:hAnsi="Arial" w:cs="Arial"/>
        </w:rP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Grantee, its employees, agents, and </w:t>
      </w:r>
      <w:r w:rsidRPr="008F20DC">
        <w:rPr>
          <w:rFonts w:ascii="Arial" w:hAnsi="Arial" w:cs="Arial"/>
        </w:rPr>
        <w:lastRenderedPageBreak/>
        <w:t xml:space="preserve">subcontractors, either individually or jointly with others in the performance of this grant agreement. Works includes “Documents.” Documents are the originals of any databases, computer programs, reports, notes studies, photographs, negatives, designs, drawings, specifications, materials, tapes, disks, or other materials, whether in tangible or electronic forms, prepared by the Grantee, its employees, agents, or subcontractors, in the performance of this grant agreement. The Documents shall be the exclusive property of the State and all such Documents must be immediately returned to the State by the Grantee, at the Grantee’s expense, upon the written request of the State, or upon completion, termination, or cancellation of this grant agreement. To the extent possible, those Works eligible for copyright protection under the United States’ Copyright Act will be deemed to be “works made for hire.” The Grantee assigns all right, title, and interest it may have in the Works and the Documents to the State. The Grantee must, at the request of the State, execute all papers and perform all other acts necessary to transfer or record the State’s ownership interest in the Works and Documents. </w:t>
      </w:r>
    </w:p>
    <w:p w14:paraId="20E8A2B7" w14:textId="77777777" w:rsidR="0084050F" w:rsidRPr="008F20DC" w:rsidRDefault="0084050F" w:rsidP="0084050F">
      <w:pPr>
        <w:keepNext/>
        <w:widowControl w:val="0"/>
        <w:numPr>
          <w:ilvl w:val="0"/>
          <w:numId w:val="7"/>
        </w:numPr>
        <w:autoSpaceDE w:val="0"/>
        <w:autoSpaceDN w:val="0"/>
        <w:adjustRightInd w:val="0"/>
        <w:spacing w:before="120"/>
        <w:ind w:left="1267"/>
        <w:outlineLvl w:val="0"/>
        <w:rPr>
          <w:rFonts w:ascii="Arial" w:hAnsi="Arial" w:cs="Arial"/>
          <w:b/>
        </w:rPr>
      </w:pPr>
      <w:r w:rsidRPr="008F20DC">
        <w:rPr>
          <w:rFonts w:ascii="Arial" w:hAnsi="Arial" w:cs="Arial"/>
          <w:b/>
          <w:i/>
        </w:rPr>
        <w:t>Obligations</w:t>
      </w:r>
      <w:r w:rsidRPr="008F20DC">
        <w:rPr>
          <w:rFonts w:ascii="Arial" w:hAnsi="Arial" w:cs="Arial"/>
          <w:b/>
        </w:rPr>
        <w:t>.</w:t>
      </w:r>
    </w:p>
    <w:p w14:paraId="17B705CC" w14:textId="77777777" w:rsidR="0084050F" w:rsidRPr="008F20DC" w:rsidRDefault="0084050F" w:rsidP="005215DF">
      <w:pPr>
        <w:widowControl w:val="0"/>
        <w:autoSpaceDE w:val="0"/>
        <w:autoSpaceDN w:val="0"/>
        <w:adjustRightInd w:val="0"/>
        <w:spacing w:before="120"/>
        <w:ind w:left="1620" w:hanging="356"/>
        <w:rPr>
          <w:rFonts w:ascii="Arial" w:hAnsi="Arial" w:cs="Arial"/>
        </w:rPr>
      </w:pPr>
      <w:r w:rsidRPr="008F20DC">
        <w:rPr>
          <w:rFonts w:ascii="Arial" w:hAnsi="Arial" w:cs="Arial"/>
        </w:rPr>
        <w:t>(1)</w:t>
      </w:r>
      <w:r w:rsidRPr="008F20DC">
        <w:rPr>
          <w:rFonts w:ascii="Arial" w:hAnsi="Arial" w:cs="Arial"/>
        </w:rPr>
        <w:tab/>
      </w:r>
      <w:r w:rsidRPr="008F20DC">
        <w:rPr>
          <w:rFonts w:ascii="Arial" w:hAnsi="Arial" w:cs="Arial"/>
          <w:b/>
        </w:rPr>
        <w:t>Notification</w:t>
      </w:r>
      <w:r w:rsidRPr="008F20DC">
        <w:rPr>
          <w:rFonts w:ascii="Arial" w:hAnsi="Arial" w:cs="Arial"/>
        </w:rPr>
        <w:t>. Whenever any invention, improvement, or discovery (whether or not patentable) is made or conceived for the first time or actually or constructively reduced to practice by the Grantee, including its employees and subcontractors, in the performance of this grant agreement, the Grantee shall immediately give the State’s Authorized Representative written notice thereof, and must promptly furnish the Authorized Representative with complete information and/or disclosure therein.</w:t>
      </w:r>
    </w:p>
    <w:p w14:paraId="6366293E" w14:textId="77777777" w:rsidR="0084050F" w:rsidRPr="008F20DC" w:rsidRDefault="0084050F" w:rsidP="005215DF">
      <w:pPr>
        <w:widowControl w:val="0"/>
        <w:autoSpaceDE w:val="0"/>
        <w:autoSpaceDN w:val="0"/>
        <w:adjustRightInd w:val="0"/>
        <w:spacing w:before="120"/>
        <w:ind w:left="1620" w:hanging="356"/>
        <w:rPr>
          <w:rFonts w:ascii="Arial" w:hAnsi="Arial" w:cs="Arial"/>
        </w:rPr>
      </w:pPr>
      <w:r w:rsidRPr="008F20DC">
        <w:rPr>
          <w:rFonts w:ascii="Arial" w:hAnsi="Arial" w:cs="Arial"/>
        </w:rPr>
        <w:t>(2)</w:t>
      </w:r>
      <w:r w:rsidRPr="008F20DC">
        <w:rPr>
          <w:rFonts w:ascii="Arial" w:hAnsi="Arial" w:cs="Arial"/>
        </w:rPr>
        <w:tab/>
      </w:r>
      <w:r w:rsidRPr="008F20DC">
        <w:rPr>
          <w:rFonts w:ascii="Arial" w:hAnsi="Arial" w:cs="Arial"/>
          <w:b/>
        </w:rPr>
        <w:t>Representation</w:t>
      </w:r>
      <w:r w:rsidRPr="008F20DC">
        <w:rPr>
          <w:rFonts w:ascii="Arial" w:hAnsi="Arial" w:cs="Arial"/>
        </w:rPr>
        <w:t>. The Grantee must perform all acts, and take all steps necessary to ensure that all intellectual property rights in the Works and Documents are the sole property of the State, and that neither Grantee nor its employees, agents, or subcontractors retain any interest in and to the Works and Documents. The Grantee represents and warrants that the Works and Documents do not and will not infringe upon any intellectual property rights of other persons or entities. Notwithstanding Clause Liability, the Grantee shall indemnify, defend, to the extent permitted by the Attorney General, and hold harmless the State, at the Grantee’s expense, from any action or claim brought against the State to the extent that it is based on a claim that all or part of the Works or Documents infringe upon the intellectual property rights of others. The Grantee will be responsible for payment of any and all such claims, demands, obligations, liabilities, costs, and damages, including, but not limited to, attorney fees. If such a claim or action arises or in Grantee’s or the State’s opinion is likely to arise, the Grantee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614909F6" w14:textId="77777777" w:rsidR="0084050F" w:rsidRPr="008F20DC" w:rsidRDefault="0084050F" w:rsidP="005215DF">
      <w:pPr>
        <w:widowControl w:val="0"/>
        <w:autoSpaceDE w:val="0"/>
        <w:autoSpaceDN w:val="0"/>
        <w:adjustRightInd w:val="0"/>
        <w:spacing w:before="120"/>
        <w:ind w:left="1620" w:hanging="356"/>
        <w:rPr>
          <w:rFonts w:ascii="Arial" w:hAnsi="Arial" w:cs="Arial"/>
        </w:rPr>
      </w:pPr>
      <w:r w:rsidRPr="008F20DC">
        <w:rPr>
          <w:rFonts w:ascii="Arial" w:hAnsi="Arial" w:cs="Arial"/>
        </w:rPr>
        <w:t>(3)</w:t>
      </w:r>
      <w:r w:rsidRPr="008F20DC">
        <w:rPr>
          <w:rFonts w:ascii="Arial" w:hAnsi="Arial" w:cs="Arial"/>
        </w:rPr>
        <w:tab/>
      </w:r>
      <w:r w:rsidRPr="008F20DC">
        <w:rPr>
          <w:rFonts w:ascii="Arial" w:hAnsi="Arial" w:cs="Arial"/>
          <w:b/>
        </w:rPr>
        <w:t>License.</w:t>
      </w:r>
      <w:r w:rsidRPr="008F20DC">
        <w:rPr>
          <w:rFonts w:ascii="Arial" w:hAnsi="Arial" w:cs="Arial"/>
        </w:rPr>
        <w:t xml:space="preserve"> The State hereby grants a limited, no-fee, noncommercial license to the Grantee to enable the Grantee’s employees engaged in research and scholarly pursuits to make, have made, reproduce, modify, distribute, perform, and otherwise use the Works, including Documents, for research activities or to publish in scholarly or professional journals, provided that any existing or future intellectual property rights in the Works or Documents (including patents, licenses, trade or service marks, trade secrets, or copyrights) are not prejudiced or infringed upon, that the Minnesota Data Practices Act is complied with, and that individual rights to privacy are not violated. The Grantee shall indemnify and hold harmless the State for any claim or action based on the Grantee’s use of the Works or Documents under the provisions of Clause 10.2(b)(2). Said license is subject to the State’s publicity and acknowledgement requirements set forth in this grant agreement. The Grantee may reproduce and retain a copy of the Documents for research and academic use. The Grantee is responsible for security of the Grantee’s copy of the Documents. A copy of any articles, materials or documents produced by the Grantee’s employees, in any form, using or derived from the subject matter of this license, shall be promptly delivered without cost to the State.</w:t>
      </w:r>
    </w:p>
    <w:p w14:paraId="4A10056C"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t>Workers’ c</w:t>
      </w:r>
      <w:r w:rsidRPr="008F20DC">
        <w:rPr>
          <w:rFonts w:ascii="Arial" w:hAnsi="Arial" w:cs="Arial"/>
          <w:b/>
          <w:bCs/>
        </w:rPr>
        <w:t>ompensation</w:t>
      </w:r>
    </w:p>
    <w:p w14:paraId="63ACDF04" w14:textId="77777777" w:rsidR="0084050F" w:rsidRPr="008F20DC" w:rsidRDefault="0084050F"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 xml:space="preserve">The Grantee certifies that it is in compliance </w:t>
      </w:r>
      <w:r w:rsidRPr="008F20DC">
        <w:rPr>
          <w:rFonts w:ascii="Arial" w:hAnsi="Arial" w:cs="Arial"/>
          <w:color w:val="000000"/>
        </w:rPr>
        <w:t xml:space="preserve">with </w:t>
      </w:r>
      <w:hyperlink r:id="rId23" w:history="1">
        <w:r w:rsidRPr="008F20DC">
          <w:rPr>
            <w:rFonts w:ascii="Arial" w:hAnsi="Arial" w:cs="Arial"/>
            <w:color w:val="0000FF"/>
            <w:u w:val="single"/>
          </w:rPr>
          <w:t>Minn. Stat. § 176.181</w:t>
        </w:r>
      </w:hyperlink>
      <w:r w:rsidRPr="008F20DC">
        <w:rPr>
          <w:rFonts w:ascii="Arial" w:hAnsi="Arial" w:cs="Arial"/>
          <w:color w:val="000000"/>
        </w:rPr>
        <w:t>, subd. 2, pertaining to workers’</w:t>
      </w:r>
      <w:r w:rsidRPr="008F20DC">
        <w:rPr>
          <w:rFonts w:ascii="Arial" w:hAnsi="Arial" w:cs="Arial"/>
        </w:rPr>
        <w:t xml:space="preserve">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 </w:t>
      </w:r>
    </w:p>
    <w:p w14:paraId="79F49409"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lastRenderedPageBreak/>
        <w:t>Publicity and e</w:t>
      </w:r>
      <w:r w:rsidRPr="008F20DC">
        <w:rPr>
          <w:rFonts w:ascii="Arial" w:hAnsi="Arial" w:cs="Arial"/>
          <w:b/>
          <w:bCs/>
        </w:rPr>
        <w:t>ndorsement</w:t>
      </w:r>
    </w:p>
    <w:p w14:paraId="36E01994" w14:textId="77777777" w:rsidR="0084050F" w:rsidRPr="008F20DC" w:rsidRDefault="0084050F" w:rsidP="0084050F">
      <w:pPr>
        <w:spacing w:before="120"/>
        <w:ind w:left="900" w:hanging="540"/>
        <w:rPr>
          <w:rFonts w:ascii="Arial" w:hAnsi="Arial" w:cs="Arial"/>
        </w:rPr>
      </w:pPr>
      <w:r w:rsidRPr="008F20DC">
        <w:rPr>
          <w:rFonts w:ascii="Arial" w:hAnsi="Arial" w:cs="Arial"/>
        </w:rPr>
        <w:t>12.1</w:t>
      </w:r>
      <w:r w:rsidRPr="008F20DC">
        <w:rPr>
          <w:rFonts w:ascii="Arial" w:hAnsi="Arial" w:cs="Arial"/>
        </w:rPr>
        <w:tab/>
      </w:r>
      <w:r w:rsidRPr="008F20DC">
        <w:rPr>
          <w:rFonts w:ascii="Arial" w:hAnsi="Arial" w:cs="Arial"/>
          <w:b/>
          <w:bCs/>
          <w:i/>
          <w:iCs/>
        </w:rPr>
        <w:t>Publicity</w:t>
      </w:r>
      <w:r w:rsidRPr="008F20DC">
        <w:rPr>
          <w:rFonts w:ascii="Arial" w:hAnsi="Arial" w:cs="Arial"/>
        </w:rPr>
        <w:t>. Any publicity regarding the subject matter of this grant agreement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agreement.</w:t>
      </w:r>
      <w:r>
        <w:rPr>
          <w:rFonts w:ascii="Arial" w:hAnsi="Arial" w:cs="Arial"/>
        </w:rPr>
        <w:t xml:space="preserve"> </w:t>
      </w:r>
      <w:r w:rsidRPr="00B241D5">
        <w:rPr>
          <w:rFonts w:ascii="Arial" w:hAnsi="Arial" w:cs="Arial"/>
          <w:iCs/>
        </w:rPr>
        <w:t>All projects primarily funded by state grant appropriations must publicly credit the State of Minnesota, including on the grantee’s website when practicable.</w:t>
      </w:r>
    </w:p>
    <w:p w14:paraId="4E42036E"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12.2</w:t>
      </w:r>
      <w:r w:rsidRPr="008F20DC">
        <w:rPr>
          <w:rFonts w:ascii="Arial" w:hAnsi="Arial" w:cs="Arial"/>
        </w:rPr>
        <w:tab/>
      </w:r>
      <w:r w:rsidRPr="008F20DC">
        <w:rPr>
          <w:rFonts w:ascii="Arial" w:hAnsi="Arial" w:cs="Arial"/>
          <w:b/>
          <w:bCs/>
          <w:i/>
          <w:iCs/>
        </w:rPr>
        <w:t>Endorsement</w:t>
      </w:r>
      <w:r w:rsidRPr="008F20DC">
        <w:rPr>
          <w:rFonts w:ascii="Arial" w:hAnsi="Arial" w:cs="Arial"/>
        </w:rPr>
        <w:t>. The Grantee must not claim that the State endorses its products or services.</w:t>
      </w:r>
    </w:p>
    <w:p w14:paraId="558A636F"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Governing</w:t>
      </w:r>
      <w:r w:rsidRPr="008F20DC">
        <w:rPr>
          <w:rFonts w:ascii="Arial" w:hAnsi="Arial" w:cs="Arial"/>
          <w:b/>
        </w:rPr>
        <w:t xml:space="preserve"> law, jurisdiction, and venue</w:t>
      </w:r>
    </w:p>
    <w:p w14:paraId="39157650" w14:textId="77777777" w:rsidR="0084050F" w:rsidRPr="008F20DC" w:rsidRDefault="0084050F"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Minnesota law, without regard to its choice-of-law provisions, governs this grant agreement. Venue for all legal proceedings out of this grant agreement, or its breach, must be in the appropriate state or federal court with competent jurisdiction in Ramsey County, Minnesota.</w:t>
      </w:r>
    </w:p>
    <w:p w14:paraId="07689E8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bCs/>
        </w:rPr>
      </w:pPr>
      <w:r>
        <w:rPr>
          <w:rFonts w:ascii="Arial" w:hAnsi="Arial" w:cs="Arial"/>
          <w:b/>
          <w:bCs/>
        </w:rPr>
        <w:t>Termination</w:t>
      </w:r>
    </w:p>
    <w:p w14:paraId="53955A42" w14:textId="77777777" w:rsidR="0084050F" w:rsidRPr="008F20DC" w:rsidRDefault="0084050F" w:rsidP="0084050F">
      <w:pPr>
        <w:pStyle w:val="ListParagraph"/>
        <w:widowControl w:val="0"/>
        <w:numPr>
          <w:ilvl w:val="1"/>
          <w:numId w:val="2"/>
        </w:numPr>
        <w:autoSpaceDE w:val="0"/>
        <w:autoSpaceDN w:val="0"/>
        <w:adjustRightInd w:val="0"/>
        <w:spacing w:before="120"/>
        <w:ind w:left="900" w:hanging="540"/>
        <w:rPr>
          <w:rFonts w:ascii="Arial" w:hAnsi="Arial" w:cs="Arial"/>
        </w:rPr>
      </w:pPr>
      <w:r w:rsidRPr="008F20DC">
        <w:rPr>
          <w:rFonts w:ascii="Arial" w:hAnsi="Arial" w:cs="Arial"/>
          <w:b/>
          <w:i/>
        </w:rPr>
        <w:t xml:space="preserve">Termination by the State. </w:t>
      </w:r>
      <w:r w:rsidRPr="008F20DC">
        <w:rPr>
          <w:rFonts w:ascii="Arial" w:hAnsi="Arial" w:cs="Arial"/>
        </w:rPr>
        <w:t>The State may immediately terminate this grant agreement with or without cause, upon 30-days’ written notice to the Grantee. Upon termination, the Grantee will be entitled to payment, determined on a pro rata basis, for services satisfactorily performed.</w:t>
      </w:r>
    </w:p>
    <w:p w14:paraId="23B473F0" w14:textId="77777777" w:rsidR="0084050F" w:rsidRPr="008F20DC" w:rsidRDefault="0084050F" w:rsidP="0084050F">
      <w:pPr>
        <w:widowControl w:val="0"/>
        <w:numPr>
          <w:ilvl w:val="1"/>
          <w:numId w:val="2"/>
        </w:numPr>
        <w:tabs>
          <w:tab w:val="left" w:pos="900"/>
        </w:tabs>
        <w:autoSpaceDE w:val="0"/>
        <w:autoSpaceDN w:val="0"/>
        <w:adjustRightInd w:val="0"/>
        <w:spacing w:before="120"/>
        <w:ind w:left="900" w:hanging="540"/>
        <w:rPr>
          <w:rFonts w:ascii="Arial" w:hAnsi="Arial" w:cs="Arial"/>
        </w:rPr>
      </w:pPr>
      <w:r w:rsidRPr="008F20DC">
        <w:rPr>
          <w:rFonts w:ascii="Arial" w:hAnsi="Arial" w:cs="Arial"/>
          <w:b/>
          <w:i/>
        </w:rPr>
        <w:t>Termination for cause.</w:t>
      </w:r>
      <w:r w:rsidRPr="008F20DC">
        <w:rPr>
          <w:rFonts w:ascii="Arial" w:hAnsi="Arial" w:cs="Arial"/>
          <w:i/>
        </w:rPr>
        <w:t xml:space="preserve"> </w:t>
      </w:r>
      <w:r w:rsidRPr="008F20DC">
        <w:rPr>
          <w:rFonts w:ascii="Arial" w:hAnsi="Arial" w:cs="Arial"/>
          <w:bCs/>
        </w:rPr>
        <w:t>The State may immediately terminate this grant agreement i</w:t>
      </w:r>
      <w:r w:rsidRPr="008F20DC">
        <w:rPr>
          <w:rFonts w:ascii="Arial" w:hAnsi="Arial" w:cs="Arial"/>
        </w:rPr>
        <w:t>f the State finds that there has been a failure to comply with the provisions of this grant agreement,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5CD08F7C" w14:textId="77777777" w:rsidR="0084050F" w:rsidRPr="008F20DC" w:rsidRDefault="0084050F" w:rsidP="0084050F">
      <w:pPr>
        <w:widowControl w:val="0"/>
        <w:numPr>
          <w:ilvl w:val="1"/>
          <w:numId w:val="2"/>
        </w:numPr>
        <w:tabs>
          <w:tab w:val="left" w:pos="900"/>
        </w:tabs>
        <w:autoSpaceDE w:val="0"/>
        <w:autoSpaceDN w:val="0"/>
        <w:adjustRightInd w:val="0"/>
        <w:spacing w:before="120"/>
        <w:ind w:left="900" w:hanging="540"/>
        <w:rPr>
          <w:rFonts w:ascii="Arial" w:hAnsi="Arial" w:cs="Arial"/>
        </w:rPr>
      </w:pPr>
      <w:r w:rsidRPr="008F20DC">
        <w:rPr>
          <w:rFonts w:ascii="Arial" w:hAnsi="Arial" w:cs="Arial"/>
          <w:b/>
          <w:i/>
        </w:rPr>
        <w:t>Termination for insufficient funding</w:t>
      </w:r>
      <w:r w:rsidRPr="008F20DC">
        <w:rPr>
          <w:rFonts w:ascii="Arial" w:hAnsi="Arial" w:cs="Arial"/>
          <w:i/>
        </w:rPr>
        <w:t xml:space="preserve">. </w:t>
      </w:r>
      <w:r w:rsidRPr="008F20DC">
        <w:rPr>
          <w:rFonts w:ascii="Arial" w:hAnsi="Arial" w:cs="Arial"/>
        </w:rPr>
        <w:t>The State may immediately terminate this grant agreement if:</w:t>
      </w:r>
    </w:p>
    <w:p w14:paraId="481D64F5" w14:textId="77777777" w:rsidR="0084050F" w:rsidRPr="008F20DC" w:rsidRDefault="0084050F" w:rsidP="0084050F">
      <w:pPr>
        <w:widowControl w:val="0"/>
        <w:numPr>
          <w:ilvl w:val="0"/>
          <w:numId w:val="9"/>
        </w:numPr>
        <w:autoSpaceDE w:val="0"/>
        <w:autoSpaceDN w:val="0"/>
        <w:adjustRightInd w:val="0"/>
        <w:spacing w:before="120"/>
        <w:ind w:left="1260"/>
        <w:outlineLvl w:val="0"/>
        <w:rPr>
          <w:rFonts w:ascii="Arial" w:hAnsi="Arial" w:cs="Arial"/>
        </w:rPr>
      </w:pPr>
      <w:r w:rsidRPr="008F20DC">
        <w:rPr>
          <w:rFonts w:ascii="Arial" w:hAnsi="Arial" w:cs="Arial"/>
        </w:rPr>
        <w:t xml:space="preserve">It does not obtain funding from the Minnesota Legislature. </w:t>
      </w:r>
    </w:p>
    <w:p w14:paraId="2AB6EDD6" w14:textId="77777777" w:rsidR="0084050F" w:rsidRPr="008F20DC" w:rsidRDefault="0084050F" w:rsidP="005215DF">
      <w:pPr>
        <w:widowControl w:val="0"/>
        <w:numPr>
          <w:ilvl w:val="0"/>
          <w:numId w:val="9"/>
        </w:numPr>
        <w:autoSpaceDE w:val="0"/>
        <w:autoSpaceDN w:val="0"/>
        <w:adjustRightInd w:val="0"/>
        <w:spacing w:before="120"/>
        <w:ind w:left="1260"/>
        <w:outlineLvl w:val="0"/>
        <w:rPr>
          <w:rFonts w:ascii="Arial" w:hAnsi="Arial" w:cs="Arial"/>
        </w:rPr>
      </w:pPr>
      <w:r w:rsidRPr="008F20DC">
        <w:rPr>
          <w:rFonts w:ascii="Arial" w:hAnsi="Arial" w:cs="Arial"/>
        </w:rPr>
        <w:t>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agreement is terminated because of the decision of the Minnesota Legislature, or other funding source, not to appropriate funds. The State must provide the Grantee notice of the lack of funding within a reasonable time of the State’s receiving that notice.</w:t>
      </w:r>
    </w:p>
    <w:p w14:paraId="46CEF49F"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Data disclosure</w:t>
      </w:r>
    </w:p>
    <w:p w14:paraId="0C8B555A" w14:textId="77777777" w:rsidR="0084050F" w:rsidRPr="008F20DC" w:rsidRDefault="0084050F" w:rsidP="0084050F">
      <w:pPr>
        <w:ind w:left="360"/>
        <w:rPr>
          <w:rFonts w:ascii="Arial" w:hAnsi="Arial" w:cs="Arial"/>
        </w:rPr>
      </w:pPr>
      <w:r w:rsidRPr="008F20DC">
        <w:rPr>
          <w:rFonts w:ascii="Arial" w:hAnsi="Arial" w:cs="Arial"/>
          <w:color w:val="000000"/>
        </w:rPr>
        <w:t xml:space="preserve">Under </w:t>
      </w:r>
      <w:hyperlink r:id="rId24" w:history="1">
        <w:r w:rsidRPr="008F20DC">
          <w:rPr>
            <w:rFonts w:ascii="Arial" w:hAnsi="Arial" w:cs="Arial"/>
            <w:color w:val="0000FF"/>
            <w:u w:val="single"/>
          </w:rPr>
          <w:t>Minn. Stat. § 270C.65</w:t>
        </w:r>
      </w:hyperlink>
      <w:r w:rsidRPr="008F20DC">
        <w:rPr>
          <w:rFonts w:ascii="Arial" w:hAnsi="Arial" w:cs="Arial"/>
          <w:color w:val="000000"/>
        </w:rPr>
        <w:t>,</w:t>
      </w:r>
      <w:r w:rsidRPr="008F20DC">
        <w:rPr>
          <w:rFonts w:ascii="Arial" w:hAnsi="Arial" w:cs="Arial"/>
        </w:rPr>
        <w:t xml:space="preserve"> subd.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8F20DC">
        <w:rPr>
          <w:rFonts w:ascii="Arial" w:hAnsi="Arial" w:cs="Arial"/>
        </w:rPr>
        <w:softHyphen/>
        <w:t xml:space="preserve">ment of federal and state tax laws which could result in action requiring the Grantee to file state tax returns and pay delinquent state tax liabilities, if any. </w:t>
      </w:r>
    </w:p>
    <w:p w14:paraId="58560C26" w14:textId="77777777" w:rsidR="0084050F" w:rsidRDefault="0084050F" w:rsidP="0084050F">
      <w:pPr>
        <w:ind w:left="360"/>
        <w:rPr>
          <w:rFonts w:ascii="Arial" w:hAnsi="Arial" w:cs="Arial"/>
        </w:rPr>
      </w:pPr>
    </w:p>
    <w:p w14:paraId="781CFF51" w14:textId="77777777" w:rsidR="0084050F" w:rsidRPr="008F20DC" w:rsidRDefault="0084050F" w:rsidP="0084050F">
      <w:pPr>
        <w:ind w:left="360"/>
        <w:rPr>
          <w:rFonts w:ascii="Arial" w:hAnsi="Arial" w:cs="Arial"/>
        </w:rPr>
      </w:pPr>
      <w:r w:rsidRPr="008F20DC">
        <w:rPr>
          <w:rFonts w:ascii="Arial" w:hAnsi="Arial" w:cs="Arial"/>
        </w:rPr>
        <w:t>To protect Grantee’s personal data, Grantee is strongly encouraged to obtain and use a Minne</w:t>
      </w:r>
      <w:r>
        <w:rPr>
          <w:rFonts w:ascii="Arial" w:hAnsi="Arial" w:cs="Arial"/>
        </w:rPr>
        <w:t>sota tax identification number.</w:t>
      </w:r>
    </w:p>
    <w:p w14:paraId="0B7BCDC0" w14:textId="77777777" w:rsidR="0084050F" w:rsidRPr="008F20DC" w:rsidRDefault="0084050F" w:rsidP="0084050F">
      <w:pPr>
        <w:spacing w:before="240"/>
        <w:rPr>
          <w:rFonts w:ascii="Arial" w:hAnsi="Arial" w:cs="Arial"/>
        </w:rPr>
      </w:pPr>
      <w:r w:rsidRPr="00431579">
        <w:rPr>
          <w:rFonts w:ascii="Arial" w:hAnsi="Arial" w:cs="Arial"/>
        </w:rPr>
        <w:t>Signatures</w:t>
      </w:r>
    </w:p>
    <w:p w14:paraId="2790F407" w14:textId="77777777" w:rsidR="0084050F" w:rsidRPr="009324E0" w:rsidRDefault="0084050F" w:rsidP="0084050F">
      <w:pPr>
        <w:numPr>
          <w:ilvl w:val="1"/>
          <w:numId w:val="0"/>
        </w:numPr>
        <w:rPr>
          <w:rFonts w:ascii="Calibri" w:hAnsi="Calibri"/>
          <w:sz w:val="24"/>
          <w:szCs w:val="24"/>
        </w:rPr>
      </w:pPr>
    </w:p>
    <w:p w14:paraId="7EEE69A3" w14:textId="77777777" w:rsidR="00BF5648" w:rsidRDefault="00BF5648"/>
    <w:sectPr w:rsidR="00BF5648" w:rsidSect="00AB1937">
      <w:headerReference w:type="default" r:id="rId25"/>
      <w:footerReference w:type="default" r:id="rId26"/>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9825" w14:textId="77777777" w:rsidR="00FE4233" w:rsidRDefault="00FE4233">
      <w:r>
        <w:separator/>
      </w:r>
    </w:p>
  </w:endnote>
  <w:endnote w:type="continuationSeparator" w:id="0">
    <w:p w14:paraId="4F8F32CB" w14:textId="77777777" w:rsidR="00FE4233" w:rsidRDefault="00FE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A3AF" w14:textId="77777777" w:rsidR="00CA5987" w:rsidRPr="008F20DC" w:rsidRDefault="00CA5987" w:rsidP="00AB193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8745A13" w14:textId="77777777" w:rsidR="00CA5987" w:rsidRPr="008F20DC" w:rsidRDefault="00816B4B" w:rsidP="00AB1937">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F20DC">
      <w:rPr>
        <w:rFonts w:ascii="Calibri" w:hAnsi="Calibri"/>
        <w:iCs/>
        <w:sz w:val="16"/>
        <w:szCs w:val="16"/>
      </w:rPr>
      <w:t>https://www.pca.state.mn.us</w:t>
    </w:r>
    <w:r w:rsidRPr="008F20DC">
      <w:rPr>
        <w:rFonts w:ascii="Calibri" w:hAnsi="Calibri"/>
        <w:iCs/>
        <w:sz w:val="16"/>
        <w:szCs w:val="16"/>
      </w:rPr>
      <w:tab/>
      <w:t>•</w:t>
    </w:r>
    <w:r w:rsidRPr="008F20DC">
      <w:rPr>
        <w:rFonts w:ascii="Calibri" w:hAnsi="Calibri"/>
        <w:iCs/>
        <w:sz w:val="16"/>
        <w:szCs w:val="16"/>
      </w:rPr>
      <w:tab/>
      <w:t>651-296-6300</w:t>
    </w:r>
    <w:r w:rsidRPr="008F20DC">
      <w:rPr>
        <w:rFonts w:ascii="Calibri" w:hAnsi="Calibri"/>
        <w:iCs/>
        <w:sz w:val="16"/>
        <w:szCs w:val="16"/>
      </w:rPr>
      <w:tab/>
      <w:t>•</w:t>
    </w:r>
    <w:r w:rsidRPr="008F20DC">
      <w:rPr>
        <w:rFonts w:ascii="Calibri" w:hAnsi="Calibri"/>
        <w:iCs/>
        <w:sz w:val="16"/>
        <w:szCs w:val="16"/>
      </w:rPr>
      <w:tab/>
      <w:t>800-657-3864</w:t>
    </w:r>
    <w:r w:rsidRPr="008F20DC">
      <w:rPr>
        <w:rFonts w:ascii="Calibri" w:hAnsi="Calibri"/>
        <w:iCs/>
        <w:sz w:val="16"/>
        <w:szCs w:val="16"/>
      </w:rPr>
      <w:tab/>
      <w:t>•</w:t>
    </w:r>
    <w:r w:rsidRPr="008F20DC">
      <w:rPr>
        <w:rFonts w:ascii="Calibri" w:hAnsi="Calibri"/>
        <w:iCs/>
        <w:sz w:val="16"/>
        <w:szCs w:val="16"/>
      </w:rPr>
      <w:tab/>
      <w:t>Use your preferred relay service</w:t>
    </w:r>
    <w:r w:rsidRPr="008F20DC">
      <w:rPr>
        <w:rFonts w:ascii="Calibri" w:hAnsi="Calibri"/>
        <w:iCs/>
        <w:sz w:val="16"/>
        <w:szCs w:val="16"/>
      </w:rPr>
      <w:tab/>
      <w:t>•</w:t>
    </w:r>
    <w:r w:rsidRPr="008F20DC">
      <w:rPr>
        <w:rFonts w:ascii="Calibri" w:hAnsi="Calibri"/>
        <w:iCs/>
        <w:sz w:val="16"/>
        <w:szCs w:val="16"/>
      </w:rPr>
      <w:tab/>
      <w:t>Available in alternative formats</w:t>
    </w:r>
  </w:p>
  <w:p w14:paraId="42B05B27" w14:textId="3A175B7C" w:rsidR="00CA5987" w:rsidRPr="008F20DC" w:rsidRDefault="00C51AE5" w:rsidP="00AB1937">
    <w:pPr>
      <w:tabs>
        <w:tab w:val="right" w:pos="10494"/>
      </w:tabs>
      <w:spacing w:before="40"/>
      <w:ind w:right="-115"/>
      <w:rPr>
        <w:rFonts w:ascii="Calibri" w:hAnsi="Calibri"/>
        <w:i/>
        <w:iCs/>
        <w:sz w:val="16"/>
        <w:szCs w:val="16"/>
      </w:rPr>
    </w:pPr>
    <w:r w:rsidRPr="00C51AE5">
      <w:rPr>
        <w:rFonts w:ascii="Calibri" w:hAnsi="Calibri" w:cs="Arial"/>
        <w:i/>
        <w:sz w:val="16"/>
        <w:szCs w:val="16"/>
      </w:rPr>
      <w:t>p-f2-54</w:t>
    </w:r>
    <w:r>
      <w:rPr>
        <w:rFonts w:ascii="Calibri" w:hAnsi="Calibri" w:cs="Arial"/>
        <w:i/>
        <w:sz w:val="16"/>
        <w:szCs w:val="16"/>
      </w:rPr>
      <w:t>c</w:t>
    </w:r>
    <w:r w:rsidRPr="00C51AE5">
      <w:rPr>
        <w:rFonts w:ascii="Calibri" w:hAnsi="Calibri" w:cs="Arial"/>
        <w:i/>
        <w:sz w:val="16"/>
        <w:szCs w:val="16"/>
      </w:rPr>
      <w:t>-fy25-27</w:t>
    </w:r>
    <w:r>
      <w:rPr>
        <w:rFonts w:ascii="Calibri" w:hAnsi="Calibri" w:cs="Arial"/>
        <w:i/>
        <w:sz w:val="16"/>
        <w:szCs w:val="16"/>
      </w:rPr>
      <w:t xml:space="preserve">  </w:t>
    </w:r>
    <w:r w:rsidR="004B4A57" w:rsidRPr="003D65E7">
      <w:rPr>
        <w:rFonts w:ascii="Calibri" w:hAnsi="Calibri" w:cs="Arial"/>
        <w:i/>
        <w:sz w:val="16"/>
        <w:szCs w:val="16"/>
      </w:rPr>
      <w:t xml:space="preserve">•  </w:t>
    </w:r>
    <w:r>
      <w:rPr>
        <w:rFonts w:ascii="Calibri" w:hAnsi="Calibri" w:cs="Arial"/>
        <w:i/>
        <w:sz w:val="16"/>
        <w:szCs w:val="16"/>
      </w:rPr>
      <w:t>8/</w:t>
    </w:r>
    <w:r w:rsidR="00D45619">
      <w:rPr>
        <w:rFonts w:ascii="Calibri" w:hAnsi="Calibri" w:cs="Arial"/>
        <w:i/>
        <w:sz w:val="16"/>
        <w:szCs w:val="16"/>
      </w:rPr>
      <w:t>21</w:t>
    </w:r>
    <w:r>
      <w:rPr>
        <w:rFonts w:ascii="Calibri" w:hAnsi="Calibri" w:cs="Arial"/>
        <w:i/>
        <w:sz w:val="16"/>
        <w:szCs w:val="16"/>
      </w:rPr>
      <w:t>/2024</w:t>
    </w:r>
    <w:r w:rsidR="00816B4B" w:rsidRPr="008F20DC">
      <w:rPr>
        <w:rFonts w:ascii="Calibri" w:hAnsi="Calibri" w:cs="Arial"/>
        <w:sz w:val="16"/>
        <w:szCs w:val="16"/>
      </w:rPr>
      <w:tab/>
    </w:r>
    <w:r w:rsidR="00816B4B" w:rsidRPr="008F20DC">
      <w:rPr>
        <w:rFonts w:ascii="Calibri" w:hAnsi="Calibri"/>
        <w:i/>
        <w:iCs/>
        <w:sz w:val="16"/>
        <w:szCs w:val="16"/>
      </w:rPr>
      <w:t xml:space="preserve">Page </w:t>
    </w:r>
    <w:r w:rsidR="00816B4B" w:rsidRPr="008F20DC">
      <w:rPr>
        <w:rFonts w:ascii="Calibri" w:hAnsi="Calibri"/>
        <w:i/>
        <w:iCs/>
        <w:sz w:val="16"/>
        <w:szCs w:val="16"/>
      </w:rPr>
      <w:fldChar w:fldCharType="begin"/>
    </w:r>
    <w:r w:rsidR="00816B4B" w:rsidRPr="008F20DC">
      <w:rPr>
        <w:rFonts w:ascii="Calibri" w:hAnsi="Calibri"/>
        <w:i/>
        <w:iCs/>
        <w:sz w:val="16"/>
        <w:szCs w:val="16"/>
      </w:rPr>
      <w:instrText xml:space="preserve"> PAGE </w:instrText>
    </w:r>
    <w:r w:rsidR="00816B4B" w:rsidRPr="008F20DC">
      <w:rPr>
        <w:rFonts w:ascii="Calibri" w:hAnsi="Calibri"/>
        <w:i/>
        <w:iCs/>
        <w:sz w:val="16"/>
        <w:szCs w:val="16"/>
      </w:rPr>
      <w:fldChar w:fldCharType="separate"/>
    </w:r>
    <w:r w:rsidR="00CA7F89">
      <w:rPr>
        <w:rFonts w:ascii="Calibri" w:hAnsi="Calibri"/>
        <w:i/>
        <w:iCs/>
        <w:noProof/>
        <w:sz w:val="16"/>
        <w:szCs w:val="16"/>
      </w:rPr>
      <w:t>4</w:t>
    </w:r>
    <w:r w:rsidR="00816B4B" w:rsidRPr="008F20DC">
      <w:rPr>
        <w:rFonts w:ascii="Calibri" w:hAnsi="Calibri"/>
        <w:i/>
        <w:iCs/>
        <w:sz w:val="16"/>
        <w:szCs w:val="16"/>
      </w:rPr>
      <w:fldChar w:fldCharType="end"/>
    </w:r>
    <w:r w:rsidR="00816B4B" w:rsidRPr="008F20DC">
      <w:rPr>
        <w:rFonts w:ascii="Calibri" w:hAnsi="Calibri"/>
        <w:i/>
        <w:iCs/>
        <w:sz w:val="16"/>
        <w:szCs w:val="16"/>
      </w:rPr>
      <w:t xml:space="preserve"> of </w:t>
    </w:r>
    <w:r w:rsidR="00816B4B" w:rsidRPr="008F20DC">
      <w:rPr>
        <w:rFonts w:ascii="Calibri" w:hAnsi="Calibri"/>
        <w:i/>
        <w:sz w:val="16"/>
        <w:szCs w:val="16"/>
      </w:rPr>
      <w:fldChar w:fldCharType="begin"/>
    </w:r>
    <w:r w:rsidR="00816B4B" w:rsidRPr="008F20DC">
      <w:rPr>
        <w:rFonts w:ascii="Calibri" w:hAnsi="Calibri"/>
        <w:i/>
        <w:sz w:val="16"/>
        <w:szCs w:val="16"/>
      </w:rPr>
      <w:instrText xml:space="preserve"> NUMPAGES </w:instrText>
    </w:r>
    <w:r w:rsidR="00816B4B" w:rsidRPr="008F20DC">
      <w:rPr>
        <w:rFonts w:ascii="Calibri" w:hAnsi="Calibri"/>
        <w:i/>
        <w:sz w:val="16"/>
        <w:szCs w:val="16"/>
      </w:rPr>
      <w:fldChar w:fldCharType="separate"/>
    </w:r>
    <w:r w:rsidR="00CA7F89">
      <w:rPr>
        <w:rFonts w:ascii="Calibri" w:hAnsi="Calibri"/>
        <w:i/>
        <w:noProof/>
        <w:sz w:val="16"/>
        <w:szCs w:val="16"/>
      </w:rPr>
      <w:t>6</w:t>
    </w:r>
    <w:r w:rsidR="00816B4B" w:rsidRPr="008F20D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EDF" w14:textId="77777777" w:rsidR="00FE4233" w:rsidRDefault="00FE4233">
      <w:r>
        <w:separator/>
      </w:r>
    </w:p>
  </w:footnote>
  <w:footnote w:type="continuationSeparator" w:id="0">
    <w:p w14:paraId="40CC5ADC" w14:textId="77777777" w:rsidR="00FE4233" w:rsidRDefault="00FE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BFF5" w14:textId="77777777" w:rsidR="00CA5987" w:rsidRDefault="0082039D" w:rsidP="00423B6D">
    <w:pPr>
      <w:jc w:val="center"/>
    </w:pPr>
    <w:r>
      <w:rPr>
        <w:noProof/>
      </w:rPr>
      <w:pict w14:anchorId="3CC58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rPr>
        <w:rFonts w:ascii="Galliard BT" w:hAnsi="Galliard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6F906F2"/>
    <w:multiLevelType w:val="hybridMultilevel"/>
    <w:tmpl w:val="B336A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42E0B"/>
    <w:multiLevelType w:val="multilevel"/>
    <w:tmpl w:val="1CDEF1DE"/>
    <w:lvl w:ilvl="0">
      <w:start w:val="1"/>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320" w:hanging="1440"/>
      </w:pPr>
      <w:rPr>
        <w:rFonts w:hint="default"/>
        <w:b w:val="0"/>
        <w:i w:val="0"/>
      </w:rPr>
    </w:lvl>
  </w:abstractNum>
  <w:abstractNum w:abstractNumId="3" w15:restartNumberingAfterBreak="0">
    <w:nsid w:val="3779543E"/>
    <w:multiLevelType w:val="multilevel"/>
    <w:tmpl w:val="9B36D32C"/>
    <w:lvl w:ilvl="0">
      <w:start w:val="14"/>
      <w:numFmt w:val="decimal"/>
      <w:lvlText w:val="%1"/>
      <w:lvlJc w:val="left"/>
      <w:pPr>
        <w:ind w:left="420" w:hanging="420"/>
      </w:pPr>
      <w:rPr>
        <w:rFonts w:hint="default"/>
        <w:b/>
        <w:i/>
        <w:color w:val="000000"/>
      </w:rPr>
    </w:lvl>
    <w:lvl w:ilvl="1">
      <w:start w:val="1"/>
      <w:numFmt w:val="decimal"/>
      <w:lvlText w:val="%1.%2"/>
      <w:lvlJc w:val="left"/>
      <w:pPr>
        <w:ind w:left="1290" w:hanging="420"/>
      </w:pPr>
      <w:rPr>
        <w:rFonts w:hint="default"/>
        <w:b w:val="0"/>
        <w:i w:val="0"/>
        <w:color w:val="000000"/>
      </w:rPr>
    </w:lvl>
    <w:lvl w:ilvl="2">
      <w:start w:val="1"/>
      <w:numFmt w:val="decimal"/>
      <w:lvlText w:val="%1.%2.%3"/>
      <w:lvlJc w:val="left"/>
      <w:pPr>
        <w:ind w:left="2460" w:hanging="720"/>
      </w:pPr>
      <w:rPr>
        <w:rFonts w:hint="default"/>
        <w:b/>
        <w:i/>
        <w:color w:val="000000"/>
      </w:rPr>
    </w:lvl>
    <w:lvl w:ilvl="3">
      <w:start w:val="1"/>
      <w:numFmt w:val="decimal"/>
      <w:lvlText w:val="%1.%2.%3.%4"/>
      <w:lvlJc w:val="left"/>
      <w:pPr>
        <w:ind w:left="3330" w:hanging="720"/>
      </w:pPr>
      <w:rPr>
        <w:rFonts w:hint="default"/>
        <w:b/>
        <w:i/>
        <w:color w:val="000000"/>
      </w:rPr>
    </w:lvl>
    <w:lvl w:ilvl="4">
      <w:start w:val="1"/>
      <w:numFmt w:val="decimal"/>
      <w:lvlText w:val="%1.%2.%3.%4.%5"/>
      <w:lvlJc w:val="left"/>
      <w:pPr>
        <w:ind w:left="4560" w:hanging="1080"/>
      </w:pPr>
      <w:rPr>
        <w:rFonts w:hint="default"/>
        <w:b/>
        <w:i/>
        <w:color w:val="000000"/>
      </w:rPr>
    </w:lvl>
    <w:lvl w:ilvl="5">
      <w:start w:val="1"/>
      <w:numFmt w:val="decimal"/>
      <w:lvlText w:val="%1.%2.%3.%4.%5.%6"/>
      <w:lvlJc w:val="left"/>
      <w:pPr>
        <w:ind w:left="5430" w:hanging="1080"/>
      </w:pPr>
      <w:rPr>
        <w:rFonts w:hint="default"/>
        <w:b/>
        <w:i/>
        <w:color w:val="000000"/>
      </w:rPr>
    </w:lvl>
    <w:lvl w:ilvl="6">
      <w:start w:val="1"/>
      <w:numFmt w:val="decimal"/>
      <w:lvlText w:val="%1.%2.%3.%4.%5.%6.%7"/>
      <w:lvlJc w:val="left"/>
      <w:pPr>
        <w:ind w:left="6660" w:hanging="1440"/>
      </w:pPr>
      <w:rPr>
        <w:rFonts w:hint="default"/>
        <w:b/>
        <w:i/>
        <w:color w:val="000000"/>
      </w:rPr>
    </w:lvl>
    <w:lvl w:ilvl="7">
      <w:start w:val="1"/>
      <w:numFmt w:val="decimal"/>
      <w:lvlText w:val="%1.%2.%3.%4.%5.%6.%7.%8"/>
      <w:lvlJc w:val="left"/>
      <w:pPr>
        <w:ind w:left="7530" w:hanging="1440"/>
      </w:pPr>
      <w:rPr>
        <w:rFonts w:hint="default"/>
        <w:b/>
        <w:i/>
        <w:color w:val="000000"/>
      </w:rPr>
    </w:lvl>
    <w:lvl w:ilvl="8">
      <w:start w:val="1"/>
      <w:numFmt w:val="decimal"/>
      <w:lvlText w:val="%1.%2.%3.%4.%5.%6.%7.%8.%9"/>
      <w:lvlJc w:val="left"/>
      <w:pPr>
        <w:ind w:left="8760" w:hanging="1800"/>
      </w:pPr>
      <w:rPr>
        <w:rFonts w:hint="default"/>
        <w:b/>
        <w:i/>
        <w:color w:val="000000"/>
      </w:rPr>
    </w:lvl>
  </w:abstractNum>
  <w:abstractNum w:abstractNumId="4" w15:restartNumberingAfterBreak="0">
    <w:nsid w:val="3BA72313"/>
    <w:multiLevelType w:val="multilevel"/>
    <w:tmpl w:val="B7B62E7A"/>
    <w:lvl w:ilvl="0">
      <w:start w:val="1"/>
      <w:numFmt w:val="decimal"/>
      <w:lvlText w:val="%1."/>
      <w:lvlJc w:val="left"/>
      <w:pPr>
        <w:tabs>
          <w:tab w:val="num" w:pos="360"/>
        </w:tabs>
        <w:ind w:left="360" w:hanging="360"/>
      </w:pPr>
      <w:rPr>
        <w:rFonts w:ascii="Calibri" w:hAnsi="Calibri" w:cs="Arial" w:hint="default"/>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420F6FEA"/>
    <w:multiLevelType w:val="hybridMultilevel"/>
    <w:tmpl w:val="97D2DDA2"/>
    <w:lvl w:ilvl="0" w:tplc="373C7C6C">
      <w:start w:val="1"/>
      <w:numFmt w:val="lowerLetter"/>
      <w:lvlText w:val="(%1)"/>
      <w:lvlJc w:val="left"/>
      <w:pPr>
        <w:ind w:left="1080" w:hanging="360"/>
      </w:pPr>
      <w:rPr>
        <w:rFonts w:hint="default"/>
        <w:b/>
        <w:i/>
        <w:color w:val="auto"/>
      </w:rPr>
    </w:lvl>
    <w:lvl w:ilvl="1" w:tplc="0B0E59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D31AA"/>
    <w:multiLevelType w:val="hybridMultilevel"/>
    <w:tmpl w:val="E6BC70B2"/>
    <w:lvl w:ilvl="0" w:tplc="190C1FE2">
      <w:start w:val="1"/>
      <w:numFmt w:val="lowerLetter"/>
      <w:lvlText w:val="(%1)"/>
      <w:lvlJc w:val="left"/>
      <w:pPr>
        <w:ind w:left="1080" w:hanging="360"/>
      </w:pPr>
      <w:rPr>
        <w:rFonts w:hint="default"/>
        <w:b/>
        <w:i/>
        <w:color w:val="auto"/>
      </w:rPr>
    </w:lvl>
    <w:lvl w:ilvl="1" w:tplc="D1066C6A">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6D4F9C"/>
    <w:multiLevelType w:val="hybridMultilevel"/>
    <w:tmpl w:val="E96C9C38"/>
    <w:lvl w:ilvl="0" w:tplc="373C7C6C">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63100"/>
    <w:multiLevelType w:val="hybridMultilevel"/>
    <w:tmpl w:val="6DC0FD0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2B5066"/>
    <w:multiLevelType w:val="multilevel"/>
    <w:tmpl w:val="0BCE5DB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F390FED"/>
    <w:multiLevelType w:val="hybridMultilevel"/>
    <w:tmpl w:val="86E20FA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29656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70698595">
    <w:abstractNumId w:val="3"/>
  </w:num>
  <w:num w:numId="3" w16cid:durableId="1520925457">
    <w:abstractNumId w:val="8"/>
  </w:num>
  <w:num w:numId="4" w16cid:durableId="991176461">
    <w:abstractNumId w:val="1"/>
  </w:num>
  <w:num w:numId="5" w16cid:durableId="742214004">
    <w:abstractNumId w:val="2"/>
  </w:num>
  <w:num w:numId="6" w16cid:durableId="1013413797">
    <w:abstractNumId w:val="4"/>
  </w:num>
  <w:num w:numId="7" w16cid:durableId="705104703">
    <w:abstractNumId w:val="7"/>
  </w:num>
  <w:num w:numId="8" w16cid:durableId="984237697">
    <w:abstractNumId w:val="10"/>
  </w:num>
  <w:num w:numId="9" w16cid:durableId="772941131">
    <w:abstractNumId w:val="5"/>
  </w:num>
  <w:num w:numId="10" w16cid:durableId="103506379">
    <w:abstractNumId w:val="9"/>
  </w:num>
  <w:num w:numId="11" w16cid:durableId="65418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BqT1yPrtLH8eqpHNOQGsuGuBqdO3kQjpnRaAcHX7nEsyzkRxg7OsKwHxbNLBFUVAqw95O+G6zYaiXQ5P2sbWw==" w:salt="rbs6AvjoRK7jpRMhTxDN4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0F"/>
    <w:rsid w:val="000D1720"/>
    <w:rsid w:val="000F6A44"/>
    <w:rsid w:val="00161206"/>
    <w:rsid w:val="001871C2"/>
    <w:rsid w:val="00417952"/>
    <w:rsid w:val="004B4A57"/>
    <w:rsid w:val="005215DF"/>
    <w:rsid w:val="00527406"/>
    <w:rsid w:val="005F4411"/>
    <w:rsid w:val="006C3DDB"/>
    <w:rsid w:val="00816B4B"/>
    <w:rsid w:val="00834533"/>
    <w:rsid w:val="0084050F"/>
    <w:rsid w:val="00861C1C"/>
    <w:rsid w:val="008E42B8"/>
    <w:rsid w:val="00907D99"/>
    <w:rsid w:val="00AA1233"/>
    <w:rsid w:val="00B22740"/>
    <w:rsid w:val="00BC4D86"/>
    <w:rsid w:val="00BF5648"/>
    <w:rsid w:val="00C106F5"/>
    <w:rsid w:val="00C51AE5"/>
    <w:rsid w:val="00CA5987"/>
    <w:rsid w:val="00CA7F89"/>
    <w:rsid w:val="00D45619"/>
    <w:rsid w:val="00E55861"/>
    <w:rsid w:val="00E652D1"/>
    <w:rsid w:val="00F00E31"/>
    <w:rsid w:val="00F477CD"/>
    <w:rsid w:val="00F90BB9"/>
    <w:rsid w:val="00FE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E2776"/>
  <w15:chartTrackingRefBased/>
  <w15:docId w15:val="{BB31E2FC-DB78-42E5-ABAF-7DB87E5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autoRedefine/>
    <w:qFormat/>
    <w:rsid w:val="00B22740"/>
    <w:pPr>
      <w:widowControl w:val="0"/>
      <w:spacing w:before="360" w:after="120"/>
      <w:ind w:left="1224" w:hanging="1224"/>
      <w:jc w:val="center"/>
      <w:outlineLvl w:val="1"/>
    </w:pPr>
    <w:rPr>
      <w:rFonts w:ascii="Arial" w:hAnsi="Arial"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2740"/>
    <w:rPr>
      <w:rFonts w:ascii="Arial" w:eastAsia="Times New Roman" w:hAnsi="Arial" w:cs="Arial"/>
      <w:b/>
      <w:bCs/>
      <w:i/>
      <w:iCs/>
      <w:sz w:val="24"/>
      <w:szCs w:val="28"/>
    </w:rPr>
  </w:style>
  <w:style w:type="paragraph" w:styleId="ListParagraph">
    <w:name w:val="List Paragraph"/>
    <w:basedOn w:val="Normal"/>
    <w:uiPriority w:val="34"/>
    <w:qFormat/>
    <w:rsid w:val="0084050F"/>
    <w:pPr>
      <w:ind w:left="720"/>
      <w:contextualSpacing/>
    </w:pPr>
  </w:style>
  <w:style w:type="character" w:styleId="Hyperlink">
    <w:name w:val="Hyperlink"/>
    <w:uiPriority w:val="99"/>
    <w:unhideWhenUsed/>
    <w:rsid w:val="0084050F"/>
    <w:rPr>
      <w:color w:val="0000FF"/>
      <w:u w:val="single"/>
    </w:rPr>
  </w:style>
  <w:style w:type="paragraph" w:customStyle="1" w:styleId="Form-Title1">
    <w:name w:val="Form - Title 1"/>
    <w:basedOn w:val="Normal"/>
    <w:link w:val="Form-Title1Char"/>
    <w:qFormat/>
    <w:rsid w:val="0084050F"/>
    <w:pPr>
      <w:widowControl w:val="0"/>
      <w:spacing w:before="80"/>
      <w:jc w:val="right"/>
    </w:pPr>
    <w:rPr>
      <w:rFonts w:ascii="Calibri" w:hAnsi="Calibri"/>
      <w:bCs/>
      <w:sz w:val="40"/>
      <w:szCs w:val="24"/>
    </w:rPr>
  </w:style>
  <w:style w:type="character" w:customStyle="1" w:styleId="Form-Title1Char">
    <w:name w:val="Form - Title 1 Char"/>
    <w:link w:val="Form-Title1"/>
    <w:rsid w:val="0084050F"/>
    <w:rPr>
      <w:rFonts w:ascii="Calibri" w:eastAsia="Times New Roman" w:hAnsi="Calibri" w:cs="Times New Roman"/>
      <w:bCs/>
      <w:sz w:val="40"/>
      <w:szCs w:val="24"/>
    </w:rPr>
  </w:style>
  <w:style w:type="paragraph" w:customStyle="1" w:styleId="Form-Title3">
    <w:name w:val="Form - Title 3"/>
    <w:basedOn w:val="Header"/>
    <w:link w:val="Form-Title3Char"/>
    <w:qFormat/>
    <w:rsid w:val="0084050F"/>
    <w:pPr>
      <w:widowControl w:val="0"/>
      <w:tabs>
        <w:tab w:val="clear" w:pos="4680"/>
        <w:tab w:val="clear" w:pos="9360"/>
        <w:tab w:val="right" w:pos="7182"/>
      </w:tabs>
      <w:jc w:val="right"/>
    </w:pPr>
    <w:rPr>
      <w:rFonts w:ascii="Calibri" w:hAnsi="Calibri"/>
      <w:bCs/>
      <w:sz w:val="22"/>
    </w:rPr>
  </w:style>
  <w:style w:type="character" w:customStyle="1" w:styleId="Form-Title3Char">
    <w:name w:val="Form - Title 3 Char"/>
    <w:link w:val="Form-Title3"/>
    <w:rsid w:val="0084050F"/>
    <w:rPr>
      <w:rFonts w:ascii="Calibri" w:eastAsia="Times New Roman" w:hAnsi="Calibri" w:cs="Times New Roman"/>
      <w:bCs/>
      <w:szCs w:val="20"/>
    </w:rPr>
  </w:style>
  <w:style w:type="paragraph" w:customStyle="1" w:styleId="Form-Title4">
    <w:name w:val="Form - Title 4"/>
    <w:basedOn w:val="Header"/>
    <w:link w:val="Form-Title4Char"/>
    <w:qFormat/>
    <w:rsid w:val="0084050F"/>
    <w:pPr>
      <w:widowControl w:val="0"/>
      <w:tabs>
        <w:tab w:val="clear" w:pos="4680"/>
        <w:tab w:val="clear" w:pos="936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84050F"/>
    <w:rPr>
      <w:rFonts w:ascii="Arial" w:eastAsia="Times New Roman" w:hAnsi="Arial" w:cs="Arial"/>
      <w:bCs/>
      <w:i/>
      <w:sz w:val="16"/>
      <w:szCs w:val="16"/>
    </w:rPr>
  </w:style>
  <w:style w:type="paragraph" w:customStyle="1" w:styleId="Form-Bodytext1">
    <w:name w:val="Form - Bodytext 1"/>
    <w:basedOn w:val="BodyText"/>
    <w:link w:val="Form-Bodytext1Char"/>
    <w:qFormat/>
    <w:rsid w:val="0084050F"/>
    <w:pPr>
      <w:widowControl w:val="0"/>
      <w:spacing w:before="120" w:after="0"/>
    </w:pPr>
    <w:rPr>
      <w:rFonts w:ascii="Arial" w:hAnsi="Arial"/>
      <w:bCs/>
      <w:sz w:val="18"/>
    </w:rPr>
  </w:style>
  <w:style w:type="character" w:customStyle="1" w:styleId="Form-Bodytext1Char">
    <w:name w:val="Form - Bodytext 1 Char"/>
    <w:link w:val="Form-Bodytext1"/>
    <w:rsid w:val="0084050F"/>
    <w:rPr>
      <w:rFonts w:ascii="Arial" w:eastAsia="Times New Roman" w:hAnsi="Arial" w:cs="Times New Roman"/>
      <w:bCs/>
      <w:sz w:val="18"/>
      <w:szCs w:val="20"/>
    </w:rPr>
  </w:style>
  <w:style w:type="character" w:customStyle="1" w:styleId="Form-Heading1Char">
    <w:name w:val="Form - Heading 1 Char"/>
    <w:link w:val="Form-Heading1"/>
    <w:rsid w:val="0084050F"/>
    <w:rPr>
      <w:rFonts w:ascii="Calibri" w:hAnsi="Calibri"/>
      <w:b/>
      <w:sz w:val="28"/>
      <w:szCs w:val="24"/>
    </w:rPr>
  </w:style>
  <w:style w:type="paragraph" w:customStyle="1" w:styleId="Form-Heading1">
    <w:name w:val="Form - Heading 1"/>
    <w:link w:val="Form-Heading1Char"/>
    <w:qFormat/>
    <w:rsid w:val="0084050F"/>
    <w:pPr>
      <w:widowControl w:val="0"/>
      <w:spacing w:before="360" w:after="60" w:line="240" w:lineRule="auto"/>
      <w:ind w:left="1224" w:hanging="1224"/>
    </w:pPr>
    <w:rPr>
      <w:rFonts w:ascii="Calibri" w:hAnsi="Calibri"/>
      <w:b/>
      <w:sz w:val="28"/>
      <w:szCs w:val="24"/>
    </w:rPr>
  </w:style>
  <w:style w:type="paragraph" w:styleId="Header">
    <w:name w:val="header"/>
    <w:basedOn w:val="Normal"/>
    <w:link w:val="HeaderChar"/>
    <w:uiPriority w:val="99"/>
    <w:unhideWhenUsed/>
    <w:rsid w:val="0084050F"/>
    <w:pPr>
      <w:tabs>
        <w:tab w:val="center" w:pos="4680"/>
        <w:tab w:val="right" w:pos="9360"/>
      </w:tabs>
    </w:pPr>
  </w:style>
  <w:style w:type="character" w:customStyle="1" w:styleId="HeaderChar">
    <w:name w:val="Header Char"/>
    <w:basedOn w:val="DefaultParagraphFont"/>
    <w:link w:val="Header"/>
    <w:uiPriority w:val="99"/>
    <w:rsid w:val="0084050F"/>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4050F"/>
    <w:pPr>
      <w:spacing w:after="120"/>
    </w:pPr>
  </w:style>
  <w:style w:type="character" w:customStyle="1" w:styleId="BodyTextChar">
    <w:name w:val="Body Text Char"/>
    <w:basedOn w:val="DefaultParagraphFont"/>
    <w:link w:val="BodyText"/>
    <w:uiPriority w:val="99"/>
    <w:semiHidden/>
    <w:rsid w:val="008405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52D1"/>
    <w:pPr>
      <w:tabs>
        <w:tab w:val="center" w:pos="4680"/>
        <w:tab w:val="right" w:pos="9360"/>
      </w:tabs>
    </w:pPr>
  </w:style>
  <w:style w:type="character" w:customStyle="1" w:styleId="FooterChar">
    <w:name w:val="Footer Char"/>
    <w:basedOn w:val="DefaultParagraphFont"/>
    <w:link w:val="Footer"/>
    <w:uiPriority w:val="99"/>
    <w:rsid w:val="00E652D1"/>
    <w:rPr>
      <w:rFonts w:ascii="Times New Roman" w:eastAsia="Times New Roman" w:hAnsi="Times New Roman" w:cs="Times New Roman"/>
      <w:sz w:val="20"/>
      <w:szCs w:val="20"/>
    </w:rPr>
  </w:style>
  <w:style w:type="paragraph" w:styleId="Revision">
    <w:name w:val="Revision"/>
    <w:hidden/>
    <w:uiPriority w:val="99"/>
    <w:semiHidden/>
    <w:rsid w:val="00B2274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A5987"/>
    <w:rPr>
      <w:color w:val="954F72" w:themeColor="followedHyperlink"/>
      <w:u w:val="single"/>
    </w:rPr>
  </w:style>
  <w:style w:type="character" w:styleId="CommentReference">
    <w:name w:val="annotation reference"/>
    <w:basedOn w:val="DefaultParagraphFont"/>
    <w:uiPriority w:val="99"/>
    <w:semiHidden/>
    <w:unhideWhenUsed/>
    <w:rsid w:val="00C106F5"/>
    <w:rPr>
      <w:sz w:val="16"/>
      <w:szCs w:val="16"/>
    </w:rPr>
  </w:style>
  <w:style w:type="paragraph" w:styleId="CommentText">
    <w:name w:val="annotation text"/>
    <w:basedOn w:val="Normal"/>
    <w:link w:val="CommentTextChar"/>
    <w:uiPriority w:val="99"/>
    <w:unhideWhenUsed/>
    <w:rsid w:val="00C106F5"/>
  </w:style>
  <w:style w:type="character" w:customStyle="1" w:styleId="CommentTextChar">
    <w:name w:val="Comment Text Char"/>
    <w:basedOn w:val="DefaultParagraphFont"/>
    <w:link w:val="CommentText"/>
    <w:uiPriority w:val="99"/>
    <w:rsid w:val="00C10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6F5"/>
    <w:rPr>
      <w:b/>
      <w:bCs/>
    </w:rPr>
  </w:style>
  <w:style w:type="character" w:customStyle="1" w:styleId="CommentSubjectChar">
    <w:name w:val="Comment Subject Char"/>
    <w:basedOn w:val="CommentTextChar"/>
    <w:link w:val="CommentSubject"/>
    <w:uiPriority w:val="99"/>
    <w:semiHidden/>
    <w:rsid w:val="00C106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visor.mn.gov/statutes/?id=16B.98" TargetMode="External"/><Relationship Id="rId18" Type="http://schemas.openxmlformats.org/officeDocument/2006/relationships/hyperlink" Target="https://cert.smwb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visor.leg.state.mn.us/statutes/?id=13" TargetMode="External"/><Relationship Id="rId7" Type="http://schemas.openxmlformats.org/officeDocument/2006/relationships/endnotes" Target="endnotes.xml"/><Relationship Id="rId12" Type="http://schemas.openxmlformats.org/officeDocument/2006/relationships/hyperlink" Target="https://www.revisor.mn.gov/statutes/?id=16B.98" TargetMode="External"/><Relationship Id="rId17" Type="http://schemas.openxmlformats.org/officeDocument/2006/relationships/hyperlink" Target="https://mcub.metc.state.mn.u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md.admin.state.mn.us/process/search/" TargetMode="External"/><Relationship Id="rId20" Type="http://schemas.openxmlformats.org/officeDocument/2006/relationships/hyperlink" Target="https://www.revisor.mn.gov/statutes/?id=16B.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6B.98" TargetMode="External"/><Relationship Id="rId24" Type="http://schemas.openxmlformats.org/officeDocument/2006/relationships/hyperlink" Target="https://www.revisor.leg.state.mn.us/statutes/?id=270C.65" TargetMode="External"/><Relationship Id="rId5" Type="http://schemas.openxmlformats.org/officeDocument/2006/relationships/webSettings" Target="webSettings.xml"/><Relationship Id="rId15" Type="http://schemas.openxmlformats.org/officeDocument/2006/relationships/hyperlink" Target="file:///C:\Users\emurphy\AppData\Local\Microsoft\Windows\Temporary%20Internet%20Files\Content.Outlook\26G46FFS\mpca.ap@state.mn.us" TargetMode="External"/><Relationship Id="rId23" Type="http://schemas.openxmlformats.org/officeDocument/2006/relationships/hyperlink" Target="https://www.revisor.leg.state.mn.us/statutes/?id=176.181" TargetMode="External"/><Relationship Id="rId28" Type="http://schemas.openxmlformats.org/officeDocument/2006/relationships/theme" Target="theme/theme1.xml"/><Relationship Id="rId10" Type="http://schemas.openxmlformats.org/officeDocument/2006/relationships/hyperlink" Target="https://www.revisor.mn.gov/statutes/?id=16B.97" TargetMode="External"/><Relationship Id="rId19" Type="http://schemas.openxmlformats.org/officeDocument/2006/relationships/hyperlink" Target="https://mn.gov/admin/osp/government/suspended-debarred/" TargetMode="External"/><Relationship Id="rId4" Type="http://schemas.openxmlformats.org/officeDocument/2006/relationships/settings" Target="settings.xml"/><Relationship Id="rId9" Type="http://schemas.openxmlformats.org/officeDocument/2006/relationships/hyperlink" Target="https://www.revisor.mn.gov/" TargetMode="External"/><Relationship Id="rId14" Type="http://schemas.openxmlformats.org/officeDocument/2006/relationships/hyperlink" Target="mailto:steven.yang@state.mn.us" TargetMode="External"/><Relationship Id="rId22" Type="http://schemas.openxmlformats.org/officeDocument/2006/relationships/hyperlink" Target="https://www.revisor.leg.state.mn.us/statutes/?id=13.0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ED80-9C51-47AF-85A5-98098043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3135</Words>
  <Characters>17872</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Get the Lead Out (GTLO): Lead-Free Fishing Tackle Rebate - Sample Grant Agreement</vt:lpstr>
    </vt:vector>
  </TitlesOfParts>
  <Manager>Sandra Simbeck</Manager>
  <Company>pca</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the Lead Out (GTLO): Lead-Free Fishing Tackle Rebate - Sample Grant Agreement</dc:title>
  <dc:subject>Get the Lead Out (GTLO): Lead-Free Fishing Tackle Rebate - Sample Grant Agreement</dc:subject>
  <dc:creator>Minnesota Pollution Control Agency - Katie Christensen (Sandra Simbeck)</dc:creator>
  <cp:keywords>minnesota pollution control agency,mpca,tempo, p-f2-54c-fy25-27,gtlo,get the lead out,grant agreement,lead free,fishing tackle rebate</cp:keywords>
  <dc:description/>
  <cp:lastModifiedBy>Simbeck, Sandra (MPCA)</cp:lastModifiedBy>
  <cp:revision>9</cp:revision>
  <dcterms:created xsi:type="dcterms:W3CDTF">2024-08-13T17:18:00Z</dcterms:created>
  <dcterms:modified xsi:type="dcterms:W3CDTF">2024-08-21T16:25:00Z</dcterms:modified>
  <cp:category>planning,fiscal</cp:category>
</cp:coreProperties>
</file>