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6C989B78" w14:textId="77777777">
        <w:trPr>
          <w:cantSplit/>
          <w:trHeight w:val="1350"/>
        </w:trPr>
        <w:tc>
          <w:tcPr>
            <w:tcW w:w="3978" w:type="dxa"/>
          </w:tcPr>
          <w:p w14:paraId="271FD98F" w14:textId="77777777" w:rsidR="008303E2" w:rsidRDefault="0064522D" w:rsidP="002C5280">
            <w:pPr>
              <w:widowControl w:val="0"/>
              <w:spacing w:before="120"/>
            </w:pPr>
            <w:r>
              <w:rPr>
                <w:noProof/>
              </w:rPr>
              <w:drawing>
                <wp:inline distT="0" distB="0" distL="0" distR="0" wp14:anchorId="05ED0C5D" wp14:editId="7200113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BEA184C" w14:textId="658D1F66" w:rsidR="008303E2" w:rsidRPr="00CF2860" w:rsidRDefault="002818DB" w:rsidP="0077248A">
            <w:pPr>
              <w:pStyle w:val="Form-Title1"/>
              <w:spacing w:before="0"/>
              <w:rPr>
                <w:szCs w:val="40"/>
              </w:rPr>
            </w:pPr>
            <w:r>
              <w:rPr>
                <w:szCs w:val="40"/>
              </w:rPr>
              <w:t>CH-04</w:t>
            </w:r>
          </w:p>
          <w:p w14:paraId="2EB2CAD1" w14:textId="2794A0D5" w:rsidR="008303E2" w:rsidRDefault="002818DB" w:rsidP="00712ECC">
            <w:pPr>
              <w:pStyle w:val="Form-Title2"/>
            </w:pPr>
            <w:r>
              <w:t>Determination of New Source Review Status</w:t>
            </w:r>
          </w:p>
          <w:p w14:paraId="1C1B780A" w14:textId="7A07C9C8" w:rsidR="008303E2" w:rsidRDefault="002818DB" w:rsidP="00C06217">
            <w:pPr>
              <w:pStyle w:val="Form-Title3"/>
              <w:spacing w:before="20"/>
            </w:pPr>
            <w:r>
              <w:t>Air Quality Permit Program</w:t>
            </w:r>
          </w:p>
          <w:p w14:paraId="64D8CF61" w14:textId="2319C680" w:rsidR="005517CB" w:rsidRPr="005517CB" w:rsidRDefault="005517CB" w:rsidP="00C06217">
            <w:pPr>
              <w:pStyle w:val="Form-Title4"/>
            </w:pPr>
            <w:r>
              <w:t xml:space="preserve">Doc Type: </w:t>
            </w:r>
            <w:r w:rsidR="002818DB">
              <w:t>Permit Application</w:t>
            </w:r>
          </w:p>
        </w:tc>
      </w:tr>
    </w:tbl>
    <w:p w14:paraId="359145A1" w14:textId="75AEDB99" w:rsidR="00AE6F7C" w:rsidRPr="00CC4AF3" w:rsidRDefault="00AE6F7C" w:rsidP="00D621C5">
      <w:pPr>
        <w:spacing w:before="120"/>
      </w:pPr>
    </w:p>
    <w:tbl>
      <w:tblPr>
        <w:tblW w:w="10703" w:type="dxa"/>
        <w:tblInd w:w="7" w:type="dxa"/>
        <w:tblLayout w:type="fixed"/>
        <w:tblCellMar>
          <w:left w:w="43" w:type="dxa"/>
          <w:right w:w="43" w:type="dxa"/>
        </w:tblCellMar>
        <w:tblLook w:val="01E0" w:firstRow="1" w:lastRow="1" w:firstColumn="1" w:lastColumn="1" w:noHBand="0" w:noVBand="0"/>
      </w:tblPr>
      <w:tblGrid>
        <w:gridCol w:w="1703"/>
        <w:gridCol w:w="720"/>
        <w:gridCol w:w="2580"/>
        <w:gridCol w:w="2850"/>
        <w:gridCol w:w="2850"/>
      </w:tblGrid>
      <w:tr w:rsidR="00CC4AF3" w:rsidRPr="00BE70E9" w14:paraId="5467ED8F" w14:textId="77777777" w:rsidTr="00EA05CB">
        <w:trPr>
          <w:cantSplit/>
        </w:trPr>
        <w:tc>
          <w:tcPr>
            <w:tcW w:w="2423" w:type="dxa"/>
            <w:gridSpan w:val="2"/>
            <w:tcMar>
              <w:left w:w="0" w:type="dxa"/>
              <w:right w:w="0" w:type="dxa"/>
            </w:tcMar>
            <w:vAlign w:val="bottom"/>
          </w:tcPr>
          <w:p w14:paraId="4BF24BB3" w14:textId="71E57337" w:rsidR="00CC4AF3" w:rsidRPr="00BE70E9" w:rsidRDefault="00CC4AF3" w:rsidP="002419F1">
            <w:pPr>
              <w:pStyle w:val="Form-Bodytext1"/>
              <w:tabs>
                <w:tab w:val="left" w:pos="533"/>
              </w:tabs>
            </w:pPr>
            <w:r w:rsidRPr="002419F1">
              <w:rPr>
                <w:b/>
                <w:bCs w:val="0"/>
              </w:rPr>
              <w:t>1a)</w:t>
            </w:r>
            <w:r w:rsidR="00EA05CB">
              <w:tab/>
            </w:r>
            <w:r>
              <w:t xml:space="preserve">AQ </w:t>
            </w:r>
            <w:r w:rsidRPr="00BE70E9">
              <w:t xml:space="preserve">Facility </w:t>
            </w:r>
            <w:r>
              <w:t>ID number</w:t>
            </w:r>
            <w:r w:rsidRPr="00BE70E9">
              <w:t>:</w:t>
            </w:r>
          </w:p>
        </w:tc>
        <w:tc>
          <w:tcPr>
            <w:tcW w:w="2580" w:type="dxa"/>
            <w:tcBorders>
              <w:bottom w:val="single" w:sz="2" w:space="0" w:color="auto"/>
            </w:tcBorders>
            <w:tcMar>
              <w:left w:w="43" w:type="dxa"/>
              <w:right w:w="0" w:type="dxa"/>
            </w:tcMar>
            <w:vAlign w:val="bottom"/>
          </w:tcPr>
          <w:p w14:paraId="604637A8" w14:textId="77777777" w:rsidR="00CC4AF3" w:rsidRPr="00BE70E9" w:rsidRDefault="00CC4AF3" w:rsidP="00D212F5">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2850" w:type="dxa"/>
            <w:vAlign w:val="bottom"/>
          </w:tcPr>
          <w:p w14:paraId="00D20519" w14:textId="77636DEC" w:rsidR="00CC4AF3" w:rsidRPr="00BE70E9" w:rsidRDefault="00CC4AF3" w:rsidP="00CC4AF3">
            <w:pPr>
              <w:pStyle w:val="Form-Bodytext1"/>
              <w:jc w:val="right"/>
            </w:pPr>
            <w:r w:rsidRPr="002419F1">
              <w:rPr>
                <w:b/>
                <w:bCs w:val="0"/>
              </w:rPr>
              <w:t>1b</w:t>
            </w:r>
            <w:r w:rsidR="00D621C5">
              <w:rPr>
                <w:b/>
                <w:bCs w:val="0"/>
              </w:rPr>
              <w:t>)</w:t>
            </w:r>
            <w:r>
              <w:t xml:space="preserve"> Agency Interest ID number:</w:t>
            </w:r>
          </w:p>
        </w:tc>
        <w:tc>
          <w:tcPr>
            <w:tcW w:w="2850" w:type="dxa"/>
            <w:tcBorders>
              <w:bottom w:val="single" w:sz="2" w:space="0" w:color="auto"/>
            </w:tcBorders>
            <w:vAlign w:val="bottom"/>
          </w:tcPr>
          <w:p w14:paraId="294EF05D" w14:textId="4C4E7143" w:rsidR="00CC4AF3" w:rsidRPr="00BE70E9" w:rsidRDefault="00CC4AF3" w:rsidP="00D212F5">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CC4AF3" w:rsidRPr="00BE70E9" w14:paraId="1F5F7A32" w14:textId="77777777" w:rsidTr="00EA05CB">
        <w:trPr>
          <w:cantSplit/>
        </w:trPr>
        <w:tc>
          <w:tcPr>
            <w:tcW w:w="1703" w:type="dxa"/>
            <w:tcMar>
              <w:left w:w="0" w:type="dxa"/>
              <w:right w:w="0" w:type="dxa"/>
            </w:tcMar>
            <w:vAlign w:val="bottom"/>
          </w:tcPr>
          <w:p w14:paraId="3211759F" w14:textId="34A9C050" w:rsidR="00CC4AF3" w:rsidRPr="00BE70E9" w:rsidRDefault="00CC4AF3" w:rsidP="00D621C5">
            <w:pPr>
              <w:pStyle w:val="Form-Bodytext1"/>
              <w:tabs>
                <w:tab w:val="left" w:pos="533"/>
              </w:tabs>
              <w:spacing w:before="240"/>
            </w:pPr>
            <w:r w:rsidRPr="002419F1">
              <w:rPr>
                <w:b/>
                <w:bCs w:val="0"/>
              </w:rPr>
              <w:t>2)</w:t>
            </w:r>
            <w:r w:rsidR="00EA05CB">
              <w:tab/>
            </w:r>
            <w:r>
              <w:t>Facility name:</w:t>
            </w:r>
          </w:p>
        </w:tc>
        <w:tc>
          <w:tcPr>
            <w:tcW w:w="9000" w:type="dxa"/>
            <w:gridSpan w:val="4"/>
            <w:tcBorders>
              <w:bottom w:val="single" w:sz="2" w:space="0" w:color="auto"/>
            </w:tcBorders>
            <w:tcMar>
              <w:left w:w="43" w:type="dxa"/>
              <w:right w:w="0" w:type="dxa"/>
            </w:tcMar>
            <w:vAlign w:val="bottom"/>
          </w:tcPr>
          <w:p w14:paraId="377F07EA" w14:textId="5560C338" w:rsidR="00CC4AF3" w:rsidRPr="00BE70E9" w:rsidRDefault="00CC4AF3" w:rsidP="00D621C5">
            <w:pPr>
              <w:pStyle w:val="Form-Bodytext1"/>
              <w:spacing w:before="240"/>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bl>
    <w:p w14:paraId="70CDFCD2" w14:textId="01792B8C" w:rsidR="00EA05CB" w:rsidRDefault="00EA05CB" w:rsidP="00D621C5">
      <w:pPr>
        <w:pStyle w:val="Form-Bodytext1"/>
        <w:tabs>
          <w:tab w:val="left" w:pos="533"/>
        </w:tabs>
        <w:spacing w:before="240"/>
        <w:rPr>
          <w:rStyle w:val="Form-Bodytext1Char"/>
        </w:rPr>
      </w:pPr>
      <w:r w:rsidRPr="002419F1">
        <w:rPr>
          <w:rStyle w:val="Form-Bodytext1Char"/>
          <w:b/>
          <w:bCs/>
        </w:rPr>
        <w:t>3)</w:t>
      </w:r>
      <w:r>
        <w:rPr>
          <w:rStyle w:val="Form-Bodytext1Char"/>
        </w:rPr>
        <w:tab/>
      </w:r>
      <w:r w:rsidRPr="00EA05CB">
        <w:rPr>
          <w:rStyle w:val="Form-Bodytext1Char"/>
        </w:rPr>
        <w:t>Is your facility defined as one or more of the following types of facilities? Please check any of the types of facilities that apply.</w:t>
      </w:r>
    </w:p>
    <w:p w14:paraId="20883B5B" w14:textId="182D31BA" w:rsidR="00EA05CB" w:rsidRDefault="00EA05CB" w:rsidP="00EA05CB">
      <w:pPr>
        <w:pStyle w:val="Form-Bodytext1"/>
        <w:tabs>
          <w:tab w:val="left" w:pos="533"/>
        </w:tabs>
        <w:ind w:left="540" w:hanging="540"/>
        <w:rPr>
          <w:rStyle w:val="Form-Bodytext1Char"/>
        </w:rPr>
      </w:pPr>
      <w:r>
        <w:rPr>
          <w:rStyle w:val="Form-Bodytext1Char"/>
        </w:rPr>
        <w:tab/>
      </w:r>
      <w:r w:rsidRPr="00EA05CB">
        <w:rPr>
          <w:rStyle w:val="Form-Bodytext1Char"/>
        </w:rPr>
        <w:t>Some standard industrial classification (SIC) code(s) applying to specific categories are given in parentheses to assist you in classifying your facility. The SIC codes provided are not meant to be an exhaustive</w:t>
      </w:r>
      <w:r w:rsidR="00E52342">
        <w:rPr>
          <w:rStyle w:val="Form-Bodytext1Char"/>
        </w:rPr>
        <w:t xml:space="preserve"> nor definitive</w:t>
      </w:r>
      <w:r w:rsidRPr="00EA05CB">
        <w:rPr>
          <w:rStyle w:val="Form-Bodytext1Char"/>
        </w:rPr>
        <w:t xml:space="preserve"> list of facilities included in the category.</w:t>
      </w:r>
    </w:p>
    <w:tbl>
      <w:tblPr>
        <w:tblW w:w="10080" w:type="dxa"/>
        <w:tblInd w:w="540" w:type="dxa"/>
        <w:tblLayout w:type="fixed"/>
        <w:tblCellMar>
          <w:left w:w="43" w:type="dxa"/>
          <w:right w:w="43" w:type="dxa"/>
        </w:tblCellMar>
        <w:tblLook w:val="01E0" w:firstRow="1" w:lastRow="1" w:firstColumn="1" w:lastColumn="1" w:noHBand="0" w:noVBand="0"/>
      </w:tblPr>
      <w:tblGrid>
        <w:gridCol w:w="420"/>
        <w:gridCol w:w="4620"/>
        <w:gridCol w:w="420"/>
        <w:gridCol w:w="4620"/>
      </w:tblGrid>
      <w:tr w:rsidR="00853078" w:rsidRPr="00BE70E9" w14:paraId="74929F00" w14:textId="77777777" w:rsidTr="000C0BC3">
        <w:trPr>
          <w:cantSplit/>
        </w:trPr>
        <w:tc>
          <w:tcPr>
            <w:tcW w:w="420" w:type="dxa"/>
            <w:tcMar>
              <w:left w:w="0" w:type="dxa"/>
              <w:right w:w="43" w:type="dxa"/>
            </w:tcMar>
            <w:vAlign w:val="bottom"/>
          </w:tcPr>
          <w:p w14:paraId="4725DA4D" w14:textId="5EDF2435" w:rsidR="00853078" w:rsidRPr="00BE70E9" w:rsidRDefault="00853078" w:rsidP="00853078">
            <w:pPr>
              <w:pStyle w:val="Form-Bodytext1"/>
              <w:tabs>
                <w:tab w:val="left" w:pos="533"/>
              </w:tabs>
              <w:jc w:val="right"/>
            </w:pPr>
            <w:r>
              <w:fldChar w:fldCharType="begin">
                <w:ffData>
                  <w:name w:val="Check6"/>
                  <w:enabled/>
                  <w:calcOnExit w:val="0"/>
                  <w:checkBox>
                    <w:sizeAuto/>
                    <w:default w:val="0"/>
                  </w:checkBox>
                </w:ffData>
              </w:fldChar>
            </w:r>
            <w:bookmarkStart w:id="0" w:name="Check6"/>
            <w:r>
              <w:instrText xml:space="preserve"> FORMCHECKBOX </w:instrText>
            </w:r>
            <w:r w:rsidR="004558E9">
              <w:fldChar w:fldCharType="separate"/>
            </w:r>
            <w:r>
              <w:fldChar w:fldCharType="end"/>
            </w:r>
            <w:bookmarkEnd w:id="0"/>
          </w:p>
        </w:tc>
        <w:tc>
          <w:tcPr>
            <w:tcW w:w="4620" w:type="dxa"/>
            <w:tcMar>
              <w:left w:w="43" w:type="dxa"/>
              <w:right w:w="0" w:type="dxa"/>
            </w:tcMar>
            <w:vAlign w:val="bottom"/>
          </w:tcPr>
          <w:p w14:paraId="1234A9E5" w14:textId="730D1D1F" w:rsidR="00853078" w:rsidRPr="00BE70E9" w:rsidRDefault="00853078" w:rsidP="00853078">
            <w:pPr>
              <w:pStyle w:val="Form-Bodytext1"/>
            </w:pPr>
            <w:r>
              <w:t>Coal cleaning plants-with thermal dryers</w:t>
            </w:r>
          </w:p>
        </w:tc>
        <w:tc>
          <w:tcPr>
            <w:tcW w:w="420" w:type="dxa"/>
            <w:vAlign w:val="bottom"/>
          </w:tcPr>
          <w:p w14:paraId="35D44B53" w14:textId="304D0E8B" w:rsidR="00853078" w:rsidRPr="00BE70E9"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3B9F97E2" w14:textId="467FD5D2" w:rsidR="00853078" w:rsidRPr="00BE70E9" w:rsidRDefault="00853078" w:rsidP="003427BC">
            <w:pPr>
              <w:pStyle w:val="Form-Bodytext1"/>
            </w:pPr>
            <w:r>
              <w:t>Kraft pulp mills (2611, 2621)</w:t>
            </w:r>
          </w:p>
        </w:tc>
      </w:tr>
      <w:tr w:rsidR="00853078" w:rsidRPr="00BE70E9" w14:paraId="307F849A" w14:textId="77777777" w:rsidTr="000C0BC3">
        <w:trPr>
          <w:cantSplit/>
        </w:trPr>
        <w:tc>
          <w:tcPr>
            <w:tcW w:w="420" w:type="dxa"/>
            <w:tcMar>
              <w:left w:w="0" w:type="dxa"/>
              <w:right w:w="43" w:type="dxa"/>
            </w:tcMar>
            <w:vAlign w:val="bottom"/>
          </w:tcPr>
          <w:p w14:paraId="5BE1C68A" w14:textId="62270D5F"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7F8A94B0" w14:textId="592321A6" w:rsidR="00853078" w:rsidRPr="00BE70E9" w:rsidRDefault="00853078" w:rsidP="00853078">
            <w:pPr>
              <w:pStyle w:val="Form-Bodytext1"/>
            </w:pPr>
            <w:r>
              <w:t>Portland cement plants (3241)</w:t>
            </w:r>
          </w:p>
        </w:tc>
        <w:tc>
          <w:tcPr>
            <w:tcW w:w="420" w:type="dxa"/>
            <w:vAlign w:val="bottom"/>
          </w:tcPr>
          <w:p w14:paraId="285A690B" w14:textId="1733C9A8"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3130998D" w14:textId="313ABA53" w:rsidR="00853078" w:rsidRPr="00BE70E9" w:rsidRDefault="003427BC" w:rsidP="003427BC">
            <w:pPr>
              <w:pStyle w:val="Form-Bodytext1"/>
            </w:pPr>
            <w:r>
              <w:t>Primary zinc smelters (3339)</w:t>
            </w:r>
          </w:p>
        </w:tc>
      </w:tr>
      <w:tr w:rsidR="00853078" w:rsidRPr="00BE70E9" w14:paraId="4078117F" w14:textId="77777777" w:rsidTr="000C0BC3">
        <w:trPr>
          <w:cantSplit/>
        </w:trPr>
        <w:tc>
          <w:tcPr>
            <w:tcW w:w="420" w:type="dxa"/>
            <w:tcMar>
              <w:left w:w="0" w:type="dxa"/>
              <w:right w:w="43" w:type="dxa"/>
            </w:tcMar>
            <w:vAlign w:val="bottom"/>
          </w:tcPr>
          <w:p w14:paraId="19EA1D28" w14:textId="66C5E2D8"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456D523C" w14:textId="33CED305" w:rsidR="00853078" w:rsidRPr="00BE70E9" w:rsidRDefault="00853078" w:rsidP="00853078">
            <w:pPr>
              <w:pStyle w:val="Form-Bodytext1"/>
            </w:pPr>
            <w:r>
              <w:t>Iron and steel mills (3312)</w:t>
            </w:r>
          </w:p>
        </w:tc>
        <w:tc>
          <w:tcPr>
            <w:tcW w:w="420" w:type="dxa"/>
            <w:vAlign w:val="bottom"/>
          </w:tcPr>
          <w:p w14:paraId="576889FB" w14:textId="38CBFFBC"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16EA958D" w14:textId="350ABE3F" w:rsidR="00853078" w:rsidRPr="00BE70E9" w:rsidRDefault="003427BC" w:rsidP="003427BC">
            <w:pPr>
              <w:pStyle w:val="Form-Bodytext1"/>
            </w:pPr>
            <w:r>
              <w:t>Primary aluminum ore reduction plants (3334)</w:t>
            </w:r>
          </w:p>
        </w:tc>
      </w:tr>
      <w:tr w:rsidR="00853078" w:rsidRPr="00BE70E9" w14:paraId="1A9BE866" w14:textId="77777777" w:rsidTr="000C0BC3">
        <w:trPr>
          <w:cantSplit/>
        </w:trPr>
        <w:tc>
          <w:tcPr>
            <w:tcW w:w="420" w:type="dxa"/>
            <w:tcMar>
              <w:left w:w="0" w:type="dxa"/>
              <w:right w:w="43" w:type="dxa"/>
            </w:tcMar>
          </w:tcPr>
          <w:p w14:paraId="03B6D62A" w14:textId="4569601D" w:rsidR="00853078" w:rsidRDefault="00853078" w:rsidP="003427BC">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tcPr>
          <w:p w14:paraId="1842AFD9" w14:textId="20822802" w:rsidR="00853078" w:rsidRPr="00BE70E9" w:rsidRDefault="00853078" w:rsidP="003427BC">
            <w:pPr>
              <w:pStyle w:val="Form-Bodytext1"/>
            </w:pPr>
            <w:r>
              <w:t>Primary copper smelters (3331)</w:t>
            </w:r>
          </w:p>
        </w:tc>
        <w:tc>
          <w:tcPr>
            <w:tcW w:w="420" w:type="dxa"/>
          </w:tcPr>
          <w:p w14:paraId="7F37247F" w14:textId="051E90A3" w:rsidR="00853078" w:rsidRDefault="00853078" w:rsidP="003427BC">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Pr>
          <w:p w14:paraId="0C86634B" w14:textId="78314449" w:rsidR="00853078" w:rsidRPr="00BE70E9" w:rsidRDefault="003427BC" w:rsidP="003427BC">
            <w:pPr>
              <w:pStyle w:val="Form-Bodytext1"/>
            </w:pPr>
            <w:r>
              <w:t>Municipal incinerators capable of charging more than 250 tons of refuse per day</w:t>
            </w:r>
          </w:p>
        </w:tc>
      </w:tr>
      <w:tr w:rsidR="00853078" w:rsidRPr="00BE70E9" w14:paraId="78004AC8" w14:textId="77777777" w:rsidTr="000C0BC3">
        <w:trPr>
          <w:cantSplit/>
        </w:trPr>
        <w:tc>
          <w:tcPr>
            <w:tcW w:w="420" w:type="dxa"/>
            <w:tcMar>
              <w:left w:w="0" w:type="dxa"/>
              <w:right w:w="43" w:type="dxa"/>
            </w:tcMar>
            <w:vAlign w:val="bottom"/>
          </w:tcPr>
          <w:p w14:paraId="0233B170" w14:textId="5DACEF9F"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142ABAC8" w14:textId="3C458940" w:rsidR="00853078" w:rsidRPr="00BE70E9" w:rsidRDefault="00853078" w:rsidP="00853078">
            <w:pPr>
              <w:pStyle w:val="Form-Bodytext1"/>
            </w:pPr>
            <w:r>
              <w:t>Hydrofluoric acid plants (2819, 2899)</w:t>
            </w:r>
          </w:p>
        </w:tc>
        <w:tc>
          <w:tcPr>
            <w:tcW w:w="420" w:type="dxa"/>
            <w:vAlign w:val="bottom"/>
          </w:tcPr>
          <w:p w14:paraId="281186B5" w14:textId="009F7FAE"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75772CD8" w14:textId="151596B7" w:rsidR="00853078" w:rsidRPr="00BE70E9" w:rsidRDefault="003427BC" w:rsidP="003427BC">
            <w:pPr>
              <w:pStyle w:val="Form-Bodytext1"/>
            </w:pPr>
            <w:r>
              <w:t>Sulfuric acid plants (2819)</w:t>
            </w:r>
          </w:p>
        </w:tc>
      </w:tr>
      <w:tr w:rsidR="00853078" w:rsidRPr="00BE70E9" w14:paraId="669AAEFD" w14:textId="77777777" w:rsidTr="000C0BC3">
        <w:trPr>
          <w:cantSplit/>
        </w:trPr>
        <w:tc>
          <w:tcPr>
            <w:tcW w:w="420" w:type="dxa"/>
            <w:tcMar>
              <w:left w:w="0" w:type="dxa"/>
              <w:right w:w="43" w:type="dxa"/>
            </w:tcMar>
            <w:vAlign w:val="bottom"/>
          </w:tcPr>
          <w:p w14:paraId="1A6C0143" w14:textId="45A533B4"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3C79289A" w14:textId="513522C0" w:rsidR="00853078" w:rsidRPr="00BE70E9" w:rsidRDefault="00853078" w:rsidP="00853078">
            <w:pPr>
              <w:pStyle w:val="Form-Bodytext1"/>
            </w:pPr>
            <w:r>
              <w:t>Nitric acid plants (2873)</w:t>
            </w:r>
          </w:p>
        </w:tc>
        <w:tc>
          <w:tcPr>
            <w:tcW w:w="420" w:type="dxa"/>
            <w:vAlign w:val="bottom"/>
          </w:tcPr>
          <w:p w14:paraId="4216AB87" w14:textId="01F1EE1D"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134203DB" w14:textId="7843970F" w:rsidR="00853078" w:rsidRPr="00BE70E9" w:rsidRDefault="00853078" w:rsidP="003427BC">
            <w:pPr>
              <w:pStyle w:val="Form-Bodytext1"/>
            </w:pPr>
            <w:r>
              <w:t>Petroleum refineries (2911)</w:t>
            </w:r>
          </w:p>
        </w:tc>
      </w:tr>
      <w:tr w:rsidR="00853078" w:rsidRPr="00BE70E9" w14:paraId="409DF159" w14:textId="77777777" w:rsidTr="000C0BC3">
        <w:trPr>
          <w:cantSplit/>
        </w:trPr>
        <w:tc>
          <w:tcPr>
            <w:tcW w:w="420" w:type="dxa"/>
            <w:tcMar>
              <w:left w:w="0" w:type="dxa"/>
              <w:right w:w="43" w:type="dxa"/>
            </w:tcMar>
            <w:vAlign w:val="bottom"/>
          </w:tcPr>
          <w:p w14:paraId="494324AA" w14:textId="68B8DDE8"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2FE27C34" w14:textId="7E82EF78" w:rsidR="00853078" w:rsidRPr="00BE70E9" w:rsidRDefault="00853078" w:rsidP="00853078">
            <w:pPr>
              <w:pStyle w:val="Form-Bodytext1"/>
            </w:pPr>
            <w:r>
              <w:t>Lime plants (3274)</w:t>
            </w:r>
          </w:p>
        </w:tc>
        <w:tc>
          <w:tcPr>
            <w:tcW w:w="420" w:type="dxa"/>
            <w:vAlign w:val="bottom"/>
          </w:tcPr>
          <w:p w14:paraId="16108170" w14:textId="39486EFB"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52DE98EF" w14:textId="64FDD97D" w:rsidR="00853078" w:rsidRPr="00BE70E9" w:rsidRDefault="00853078" w:rsidP="00853078">
            <w:pPr>
              <w:pStyle w:val="Form-Bodytext1"/>
            </w:pPr>
            <w:r>
              <w:t>Phosphate rock processing plants (1475)</w:t>
            </w:r>
          </w:p>
        </w:tc>
      </w:tr>
      <w:tr w:rsidR="00853078" w:rsidRPr="00BE70E9" w14:paraId="04E17EDE" w14:textId="77777777" w:rsidTr="000C0BC3">
        <w:trPr>
          <w:cantSplit/>
        </w:trPr>
        <w:tc>
          <w:tcPr>
            <w:tcW w:w="420" w:type="dxa"/>
            <w:tcMar>
              <w:left w:w="0" w:type="dxa"/>
              <w:right w:w="43" w:type="dxa"/>
            </w:tcMar>
            <w:vAlign w:val="bottom"/>
          </w:tcPr>
          <w:p w14:paraId="49D2DE0D" w14:textId="549A2EF8"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399D691F" w14:textId="0029D8FE" w:rsidR="00853078" w:rsidRPr="00BE70E9" w:rsidRDefault="00853078" w:rsidP="00853078">
            <w:pPr>
              <w:pStyle w:val="Form-Bodytext1"/>
            </w:pPr>
            <w:r>
              <w:t>Coke oven batteries (3312)</w:t>
            </w:r>
          </w:p>
        </w:tc>
        <w:tc>
          <w:tcPr>
            <w:tcW w:w="420" w:type="dxa"/>
            <w:vAlign w:val="bottom"/>
          </w:tcPr>
          <w:p w14:paraId="17EA6058" w14:textId="2AD66B1C"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52CFB1B6" w14:textId="423E2428" w:rsidR="00853078" w:rsidRPr="00BE70E9" w:rsidRDefault="00853078" w:rsidP="00853078">
            <w:pPr>
              <w:pStyle w:val="Form-Bodytext1"/>
            </w:pPr>
            <w:r>
              <w:t>Sulfur recovery plants (2819)</w:t>
            </w:r>
          </w:p>
        </w:tc>
      </w:tr>
      <w:tr w:rsidR="00853078" w:rsidRPr="00BE70E9" w14:paraId="565CE5ED" w14:textId="77777777" w:rsidTr="000C0BC3">
        <w:trPr>
          <w:cantSplit/>
        </w:trPr>
        <w:tc>
          <w:tcPr>
            <w:tcW w:w="420" w:type="dxa"/>
            <w:tcMar>
              <w:left w:w="0" w:type="dxa"/>
              <w:right w:w="43" w:type="dxa"/>
            </w:tcMar>
            <w:vAlign w:val="bottom"/>
          </w:tcPr>
          <w:p w14:paraId="49103676" w14:textId="71A10784"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0E062117" w14:textId="60762844" w:rsidR="00853078" w:rsidRPr="00BE70E9" w:rsidRDefault="00853078" w:rsidP="00853078">
            <w:pPr>
              <w:pStyle w:val="Form-Bodytext1"/>
            </w:pPr>
            <w:r>
              <w:t>Carbon black plants (furnace process, 2895)</w:t>
            </w:r>
          </w:p>
        </w:tc>
        <w:tc>
          <w:tcPr>
            <w:tcW w:w="420" w:type="dxa"/>
            <w:vAlign w:val="bottom"/>
          </w:tcPr>
          <w:p w14:paraId="3D4A64FF" w14:textId="7ED7ED2E"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7EA68C2F" w14:textId="6EFFD764" w:rsidR="00853078" w:rsidRPr="00BE70E9" w:rsidRDefault="00853078" w:rsidP="00853078">
            <w:pPr>
              <w:pStyle w:val="Form-Bodytext1"/>
            </w:pPr>
            <w:r>
              <w:t>Primary lead smelters (3339)</w:t>
            </w:r>
          </w:p>
        </w:tc>
      </w:tr>
      <w:tr w:rsidR="00853078" w:rsidRPr="00BE70E9" w14:paraId="1269327E" w14:textId="77777777" w:rsidTr="000C0BC3">
        <w:trPr>
          <w:cantSplit/>
        </w:trPr>
        <w:tc>
          <w:tcPr>
            <w:tcW w:w="420" w:type="dxa"/>
            <w:tcMar>
              <w:left w:w="0" w:type="dxa"/>
              <w:right w:w="43" w:type="dxa"/>
            </w:tcMar>
            <w:vAlign w:val="bottom"/>
          </w:tcPr>
          <w:p w14:paraId="33EB38A9" w14:textId="26C70003"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61E97832" w14:textId="2FF3A80D" w:rsidR="00853078" w:rsidRPr="00BE70E9" w:rsidRDefault="00853078" w:rsidP="00853078">
            <w:pPr>
              <w:pStyle w:val="Form-Bodytext1"/>
            </w:pPr>
            <w:r>
              <w:t>Fuel conversion plants</w:t>
            </w:r>
          </w:p>
        </w:tc>
        <w:tc>
          <w:tcPr>
            <w:tcW w:w="420" w:type="dxa"/>
            <w:vAlign w:val="bottom"/>
          </w:tcPr>
          <w:p w14:paraId="3922E42A" w14:textId="3CB30003"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3D737C02" w14:textId="19CB40F1" w:rsidR="00853078" w:rsidRPr="00BE70E9" w:rsidRDefault="00853078" w:rsidP="00853078">
            <w:pPr>
              <w:pStyle w:val="Form-Bodytext1"/>
            </w:pPr>
            <w:r>
              <w:t>Sintering plants*</w:t>
            </w:r>
          </w:p>
        </w:tc>
      </w:tr>
      <w:tr w:rsidR="00853078" w:rsidRPr="00BE70E9" w14:paraId="5FA15100" w14:textId="77777777" w:rsidTr="000C0BC3">
        <w:trPr>
          <w:cantSplit/>
        </w:trPr>
        <w:tc>
          <w:tcPr>
            <w:tcW w:w="420" w:type="dxa"/>
            <w:tcMar>
              <w:left w:w="0" w:type="dxa"/>
              <w:right w:w="43" w:type="dxa"/>
            </w:tcMar>
            <w:vAlign w:val="bottom"/>
          </w:tcPr>
          <w:p w14:paraId="1109FE57" w14:textId="758C6CFD"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476F0840" w14:textId="551E5240" w:rsidR="00853078" w:rsidRPr="00BE70E9" w:rsidRDefault="00853078" w:rsidP="00853078">
            <w:pPr>
              <w:pStyle w:val="Form-Bodytext1"/>
            </w:pPr>
            <w:r>
              <w:t>Secondary metal production plants (334x</w:t>
            </w:r>
            <w:r w:rsidR="00E52342">
              <w:t>, 332x</w:t>
            </w:r>
            <w:r>
              <w:t>)</w:t>
            </w:r>
          </w:p>
        </w:tc>
        <w:tc>
          <w:tcPr>
            <w:tcW w:w="420" w:type="dxa"/>
            <w:vAlign w:val="bottom"/>
          </w:tcPr>
          <w:p w14:paraId="02395166" w14:textId="3A144822"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4FEA03D1" w14:textId="2587282E" w:rsidR="00853078" w:rsidRPr="00BE70E9" w:rsidRDefault="00853078" w:rsidP="00853078">
            <w:pPr>
              <w:pStyle w:val="Form-Bodytext1"/>
            </w:pPr>
            <w:r>
              <w:t>Chemical process plants (28xx)**</w:t>
            </w:r>
          </w:p>
        </w:tc>
      </w:tr>
      <w:tr w:rsidR="00853078" w:rsidRPr="00BE70E9" w14:paraId="62DA9698" w14:textId="77777777" w:rsidTr="000C0BC3">
        <w:trPr>
          <w:cantSplit/>
        </w:trPr>
        <w:tc>
          <w:tcPr>
            <w:tcW w:w="420" w:type="dxa"/>
            <w:tcMar>
              <w:left w:w="0" w:type="dxa"/>
              <w:right w:w="43" w:type="dxa"/>
            </w:tcMar>
          </w:tcPr>
          <w:p w14:paraId="33D21C6D" w14:textId="71E41483"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1E993E84" w14:textId="2148FFDD" w:rsidR="00853078" w:rsidRPr="00BE70E9" w:rsidRDefault="00853078" w:rsidP="00853078">
            <w:pPr>
              <w:pStyle w:val="Form-Bodytext1"/>
            </w:pPr>
            <w:r>
              <w:t>Fossil-fuel boilers (or combination thereof) totaling more than 250 MMBtu/hr heat input</w:t>
            </w:r>
          </w:p>
        </w:tc>
        <w:tc>
          <w:tcPr>
            <w:tcW w:w="420" w:type="dxa"/>
          </w:tcPr>
          <w:p w14:paraId="18876ED8" w14:textId="37202069"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37235E04" w14:textId="4D1D4341" w:rsidR="00853078" w:rsidRPr="00BE70E9" w:rsidRDefault="00853078" w:rsidP="00853078">
            <w:pPr>
              <w:pStyle w:val="Form-Bodytext1"/>
            </w:pPr>
            <w:r>
              <w:t>Petroleum storage &amp; transfer units, total storage capacity over 300,000 barrels</w:t>
            </w:r>
          </w:p>
        </w:tc>
      </w:tr>
      <w:tr w:rsidR="00853078" w:rsidRPr="00BE70E9" w14:paraId="6F84B556" w14:textId="77777777" w:rsidTr="000C0BC3">
        <w:trPr>
          <w:cantSplit/>
        </w:trPr>
        <w:tc>
          <w:tcPr>
            <w:tcW w:w="420" w:type="dxa"/>
            <w:tcMar>
              <w:left w:w="0" w:type="dxa"/>
              <w:right w:w="43" w:type="dxa"/>
            </w:tcMar>
            <w:vAlign w:val="bottom"/>
          </w:tcPr>
          <w:p w14:paraId="662DF4B2" w14:textId="364680AF" w:rsidR="00853078" w:rsidRDefault="00853078" w:rsidP="00853078">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vAlign w:val="bottom"/>
          </w:tcPr>
          <w:p w14:paraId="0C113B37" w14:textId="088C8B18" w:rsidR="00853078" w:rsidRPr="00BE70E9" w:rsidRDefault="00853078" w:rsidP="00853078">
            <w:pPr>
              <w:pStyle w:val="Form-Bodytext1"/>
            </w:pPr>
            <w:r>
              <w:t>Taconite ore processing plants (1011)</w:t>
            </w:r>
          </w:p>
        </w:tc>
        <w:tc>
          <w:tcPr>
            <w:tcW w:w="420" w:type="dxa"/>
            <w:vAlign w:val="bottom"/>
          </w:tcPr>
          <w:p w14:paraId="7E7BBFBC" w14:textId="668830BD" w:rsidR="00853078" w:rsidRDefault="00853078" w:rsidP="00853078">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464566C7" w14:textId="76A9E695" w:rsidR="00853078" w:rsidRPr="00BE70E9" w:rsidRDefault="00853078" w:rsidP="00853078">
            <w:pPr>
              <w:pStyle w:val="Form-Bodytext1"/>
            </w:pPr>
            <w:r>
              <w:t>Glass fiber processing plants</w:t>
            </w:r>
          </w:p>
        </w:tc>
      </w:tr>
      <w:tr w:rsidR="00853078" w:rsidRPr="00BE70E9" w14:paraId="3A996270" w14:textId="77777777" w:rsidTr="000C0BC3">
        <w:trPr>
          <w:cantSplit/>
        </w:trPr>
        <w:tc>
          <w:tcPr>
            <w:tcW w:w="420" w:type="dxa"/>
            <w:tcMar>
              <w:left w:w="0" w:type="dxa"/>
              <w:right w:w="43" w:type="dxa"/>
            </w:tcMar>
          </w:tcPr>
          <w:p w14:paraId="261124E0" w14:textId="17015ABB" w:rsidR="00853078" w:rsidRDefault="00853078" w:rsidP="003427BC">
            <w:pPr>
              <w:pStyle w:val="Form-Bodytext1"/>
              <w:tabs>
                <w:tab w:val="left" w:pos="533"/>
              </w:tabs>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tcMar>
              <w:left w:w="43" w:type="dxa"/>
              <w:right w:w="0" w:type="dxa"/>
            </w:tcMar>
          </w:tcPr>
          <w:p w14:paraId="7AC07A6A" w14:textId="25485FF4" w:rsidR="00853078" w:rsidRPr="00BE70E9" w:rsidRDefault="00853078" w:rsidP="003427BC">
            <w:pPr>
              <w:pStyle w:val="Form-Bodytext1"/>
            </w:pPr>
            <w:r>
              <w:t>Charcoal production plants (2819, 2861)</w:t>
            </w:r>
          </w:p>
        </w:tc>
        <w:tc>
          <w:tcPr>
            <w:tcW w:w="420" w:type="dxa"/>
          </w:tcPr>
          <w:p w14:paraId="401406E8" w14:textId="11C29F46" w:rsidR="00853078" w:rsidRDefault="00853078" w:rsidP="003427BC">
            <w:pPr>
              <w:pStyle w:val="Form-Bodytext1"/>
              <w:jc w:val="right"/>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p>
        </w:tc>
        <w:tc>
          <w:tcPr>
            <w:tcW w:w="4620" w:type="dxa"/>
            <w:vAlign w:val="bottom"/>
          </w:tcPr>
          <w:p w14:paraId="40529135" w14:textId="4058B563" w:rsidR="00853078" w:rsidRPr="00BE70E9" w:rsidRDefault="00853078" w:rsidP="00853078">
            <w:pPr>
              <w:pStyle w:val="Form-Bodytext1"/>
            </w:pPr>
            <w:r>
              <w:t>Fossil fuel-fired steam electric plants of more than 250 MMBtu/hr heat input</w:t>
            </w:r>
          </w:p>
        </w:tc>
      </w:tr>
    </w:tbl>
    <w:p w14:paraId="725EC67F" w14:textId="77777777" w:rsidR="000C0BC3" w:rsidRPr="000C0BC3" w:rsidRDefault="000C0BC3" w:rsidP="001F105F">
      <w:pPr>
        <w:tabs>
          <w:tab w:val="left" w:pos="1440"/>
        </w:tabs>
        <w:overflowPunct w:val="0"/>
        <w:autoSpaceDE w:val="0"/>
        <w:autoSpaceDN w:val="0"/>
        <w:adjustRightInd w:val="0"/>
        <w:spacing w:before="120"/>
        <w:ind w:left="1440" w:hanging="360"/>
        <w:textAlignment w:val="baseline"/>
        <w:rPr>
          <w:bCs/>
          <w:szCs w:val="20"/>
        </w:rPr>
      </w:pPr>
      <w:r w:rsidRPr="000C0BC3">
        <w:rPr>
          <w:bCs/>
          <w:szCs w:val="20"/>
        </w:rPr>
        <w:t>*</w:t>
      </w:r>
      <w:r w:rsidRPr="000C0BC3">
        <w:rPr>
          <w:bCs/>
          <w:szCs w:val="20"/>
        </w:rPr>
        <w:tab/>
        <w:t>Processing of fine grain materials into coarser lumps, performed primarily on ores</w:t>
      </w:r>
    </w:p>
    <w:p w14:paraId="38F1E016" w14:textId="77777777" w:rsidR="000C0BC3" w:rsidRPr="000C0BC3" w:rsidRDefault="000C0BC3" w:rsidP="001F105F">
      <w:pPr>
        <w:tabs>
          <w:tab w:val="left" w:pos="1440"/>
        </w:tabs>
        <w:overflowPunct w:val="0"/>
        <w:autoSpaceDE w:val="0"/>
        <w:autoSpaceDN w:val="0"/>
        <w:adjustRightInd w:val="0"/>
        <w:spacing w:before="60"/>
        <w:ind w:left="1440" w:hanging="360"/>
        <w:textAlignment w:val="baseline"/>
        <w:rPr>
          <w:bCs/>
          <w:szCs w:val="20"/>
        </w:rPr>
      </w:pPr>
      <w:r w:rsidRPr="000C0BC3">
        <w:rPr>
          <w:bCs/>
          <w:szCs w:val="20"/>
        </w:rPr>
        <w:t>**</w:t>
      </w:r>
      <w:r w:rsidRPr="000C0BC3">
        <w:rPr>
          <w:bCs/>
          <w:szCs w:val="20"/>
        </w:rPr>
        <w:tab/>
        <w:t>Does not include ethanol production facilities that produce ethanol by natural fermentation included in NAICS codes 325193 or 312140.</w:t>
      </w:r>
    </w:p>
    <w:p w14:paraId="37C0244C" w14:textId="6F8CF5FA" w:rsidR="00851DCF" w:rsidRPr="00851DCF" w:rsidRDefault="00851DCF" w:rsidP="00D621C5">
      <w:pPr>
        <w:pStyle w:val="Form-Bodytext1"/>
        <w:tabs>
          <w:tab w:val="left" w:pos="1620"/>
        </w:tabs>
        <w:spacing w:before="240"/>
        <w:ind w:left="1620" w:hanging="90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rsidR="002419F1">
        <w:rPr>
          <w:rStyle w:val="Form-Bodytext1Char"/>
        </w:rPr>
        <w:t xml:space="preserve">  </w:t>
      </w:r>
      <w:r w:rsidRPr="00851DCF">
        <w:rPr>
          <w:rStyle w:val="Form-Bodytext1Char"/>
        </w:rPr>
        <w:t>Yes</w:t>
      </w:r>
      <w:r w:rsidR="002419F1">
        <w:rPr>
          <w:rStyle w:val="Form-Bodytext1Char"/>
        </w:rPr>
        <w:t>.</w:t>
      </w:r>
      <w:r w:rsidR="002419F1">
        <w:rPr>
          <w:rStyle w:val="Form-Bodytext1Char"/>
        </w:rPr>
        <w:tab/>
        <w:t>M</w:t>
      </w:r>
      <w:r w:rsidRPr="00851DCF">
        <w:rPr>
          <w:rStyle w:val="Form-Bodytext1Char"/>
        </w:rPr>
        <w:t xml:space="preserve">y facility is classified as one or more of the 28 sources listed above. A listed air emission source having a potential to emit (PTE) 100 tons per year (TPY) or more of any single regulated New Source Review (NSR) pollutant (except carbon dioxide equivalents (CO2e)) is considered a major stationary source. For sources classified as one of the 28 listed, fugitive emissions must be included in the PTE. </w:t>
      </w:r>
      <w:r w:rsidRPr="002419F1">
        <w:rPr>
          <w:rStyle w:val="Form-Bodytext1Char"/>
          <w:b/>
          <w:bCs/>
        </w:rPr>
        <w:t>For item 6 of this form, and for form CH-04b if applicable, a 100-TPY emissions threshold must be used for all regulated NSR pollutants except CO2e.</w:t>
      </w:r>
    </w:p>
    <w:p w14:paraId="29CF7EF9" w14:textId="6951EC06" w:rsidR="00851DCF" w:rsidRDefault="00851DCF" w:rsidP="002419F1">
      <w:pPr>
        <w:pStyle w:val="Form-Bodytext1"/>
        <w:tabs>
          <w:tab w:val="left" w:pos="1620"/>
        </w:tabs>
        <w:ind w:left="1620" w:hanging="90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rsidR="002419F1">
        <w:t xml:space="preserve">  </w:t>
      </w:r>
      <w:r w:rsidRPr="00851DCF">
        <w:rPr>
          <w:rStyle w:val="Form-Bodytext1Char"/>
        </w:rPr>
        <w:t>No</w:t>
      </w:r>
      <w:r w:rsidR="002419F1">
        <w:rPr>
          <w:rStyle w:val="Form-Bodytext1Char"/>
        </w:rPr>
        <w:t>.</w:t>
      </w:r>
      <w:r w:rsidR="002419F1">
        <w:rPr>
          <w:rStyle w:val="Form-Bodytext1Char"/>
        </w:rPr>
        <w:tab/>
        <w:t>M</w:t>
      </w:r>
      <w:r w:rsidRPr="00851DCF">
        <w:rPr>
          <w:rStyle w:val="Form-Bodytext1Char"/>
        </w:rPr>
        <w:t xml:space="preserve">y facility is not classified as one of the 28 sources listed above. An air emission source not classified as one of the 28 sources listed above and having the PTE 250 TPY or more of any single regulated NSR pollutant (except CO2e) is considered a major stationary source. </w:t>
      </w:r>
      <w:r w:rsidRPr="002419F1">
        <w:rPr>
          <w:rStyle w:val="Form-Bodytext1Char"/>
          <w:b/>
          <w:bCs/>
        </w:rPr>
        <w:t>For item 6 of this form, and for form CH-04b if applicable, a 250-TPY emissions threshold must be used for all regulated NSR pollutants except CO2e.</w:t>
      </w:r>
    </w:p>
    <w:p w14:paraId="3BCF0992" w14:textId="77777777" w:rsidR="002419F1" w:rsidRPr="002419F1" w:rsidRDefault="002419F1" w:rsidP="00D621C5">
      <w:pPr>
        <w:pStyle w:val="Form-Bodytext1"/>
        <w:tabs>
          <w:tab w:val="left" w:pos="533"/>
        </w:tabs>
        <w:spacing w:before="240"/>
        <w:rPr>
          <w:rStyle w:val="Form-Bodytext1Char"/>
        </w:rPr>
      </w:pPr>
      <w:r w:rsidRPr="00F22797">
        <w:rPr>
          <w:rStyle w:val="Form-Bodytext1Char"/>
          <w:b/>
          <w:bCs/>
        </w:rPr>
        <w:t>4)</w:t>
      </w:r>
      <w:r w:rsidRPr="002419F1">
        <w:rPr>
          <w:rStyle w:val="Form-Bodytext1Char"/>
        </w:rPr>
        <w:tab/>
        <w:t xml:space="preserve">[Reserved] </w:t>
      </w:r>
    </w:p>
    <w:p w14:paraId="10AEEE59" w14:textId="77777777" w:rsidR="002419F1" w:rsidRPr="002419F1" w:rsidRDefault="002419F1" w:rsidP="00D621C5">
      <w:pPr>
        <w:pStyle w:val="Form-Bodytext1"/>
        <w:tabs>
          <w:tab w:val="left" w:pos="533"/>
        </w:tabs>
        <w:spacing w:before="240"/>
        <w:rPr>
          <w:rStyle w:val="Form-Bodytext1Char"/>
        </w:rPr>
      </w:pPr>
      <w:r w:rsidRPr="00F22797">
        <w:rPr>
          <w:rStyle w:val="Form-Bodytext1Char"/>
          <w:b/>
          <w:bCs/>
        </w:rPr>
        <w:t>5)</w:t>
      </w:r>
      <w:r w:rsidRPr="002419F1">
        <w:rPr>
          <w:rStyle w:val="Form-Bodytext1Char"/>
        </w:rPr>
        <w:tab/>
        <w:t xml:space="preserve">[Reserved] </w:t>
      </w:r>
    </w:p>
    <w:p w14:paraId="21FA8AAD" w14:textId="77777777" w:rsidR="002419F1" w:rsidRPr="002419F1" w:rsidRDefault="002419F1" w:rsidP="00D621C5">
      <w:pPr>
        <w:pStyle w:val="Form-Bodytext1"/>
        <w:tabs>
          <w:tab w:val="left" w:pos="533"/>
        </w:tabs>
        <w:spacing w:before="240"/>
        <w:ind w:left="540" w:hanging="540"/>
        <w:rPr>
          <w:rStyle w:val="Form-Bodytext1Char"/>
        </w:rPr>
      </w:pPr>
      <w:r w:rsidRPr="00F22797">
        <w:rPr>
          <w:rStyle w:val="Form-Bodytext1Char"/>
          <w:b/>
          <w:bCs/>
        </w:rPr>
        <w:t>6)</w:t>
      </w:r>
      <w:r w:rsidRPr="002419F1">
        <w:rPr>
          <w:rStyle w:val="Form-Bodytext1Char"/>
        </w:rPr>
        <w:tab/>
        <w:t>Is the current federally enforceable PTE (excluding greenhouse gas) of your facility greater than or equal to the thresholds identified in question 3, making your facility a major stationary source?</w:t>
      </w:r>
    </w:p>
    <w:p w14:paraId="23A6C71F" w14:textId="5F2093FD" w:rsidR="002419F1" w:rsidRPr="002419F1" w:rsidRDefault="002419F1" w:rsidP="00F22797">
      <w:pPr>
        <w:pStyle w:val="Form-Bodytext1"/>
        <w:tabs>
          <w:tab w:val="left" w:pos="533"/>
          <w:tab w:val="left" w:pos="1066"/>
        </w:tabs>
        <w:ind w:left="54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rsidR="00EE782B">
        <w:rPr>
          <w:rStyle w:val="Form-Bodytext1Char"/>
        </w:rPr>
        <w:t xml:space="preserve">  </w:t>
      </w:r>
      <w:r w:rsidRPr="002419F1">
        <w:rPr>
          <w:rStyle w:val="Form-Bodytext1Char"/>
        </w:rPr>
        <w:t>Yes.</w:t>
      </w:r>
      <w:r w:rsidR="00F22797">
        <w:rPr>
          <w:rStyle w:val="Form-Bodytext1Char"/>
        </w:rPr>
        <w:tab/>
      </w:r>
      <w:r w:rsidRPr="002419F1">
        <w:rPr>
          <w:rStyle w:val="Form-Bodytext1Char"/>
        </w:rPr>
        <w:t>Go to question 7.</w:t>
      </w:r>
    </w:p>
    <w:p w14:paraId="5031B38C" w14:textId="737284B6" w:rsidR="002419F1" w:rsidRPr="002419F1" w:rsidRDefault="002419F1" w:rsidP="001F105F">
      <w:pPr>
        <w:pStyle w:val="Form-Bodytext1"/>
        <w:tabs>
          <w:tab w:val="left" w:pos="533"/>
          <w:tab w:val="left" w:pos="1066"/>
        </w:tabs>
        <w:spacing w:before="60"/>
        <w:ind w:left="54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rsidR="00EE782B">
        <w:t xml:space="preserve">  </w:t>
      </w:r>
      <w:r w:rsidRPr="002419F1">
        <w:rPr>
          <w:rStyle w:val="Form-Bodytext1Char"/>
        </w:rPr>
        <w:t>No.</w:t>
      </w:r>
      <w:r w:rsidR="00F22797">
        <w:rPr>
          <w:rStyle w:val="Form-Bodytext1Char"/>
        </w:rPr>
        <w:tab/>
      </w:r>
      <w:r w:rsidRPr="002419F1">
        <w:rPr>
          <w:rStyle w:val="Form-Bodytext1Char"/>
        </w:rPr>
        <w:t>Go to question 9.</w:t>
      </w:r>
    </w:p>
    <w:p w14:paraId="1DC1E00C" w14:textId="5292AAFA" w:rsidR="002419F1" w:rsidRPr="002419F1" w:rsidRDefault="002419F1" w:rsidP="00D621C5">
      <w:pPr>
        <w:pStyle w:val="Form-Bodytext1"/>
        <w:keepNext/>
        <w:keepLines/>
        <w:tabs>
          <w:tab w:val="left" w:pos="533"/>
        </w:tabs>
        <w:spacing w:before="240"/>
        <w:ind w:left="547" w:hanging="547"/>
        <w:rPr>
          <w:rStyle w:val="Form-Bodytext1Char"/>
        </w:rPr>
      </w:pPr>
      <w:r w:rsidRPr="00F22797">
        <w:rPr>
          <w:rStyle w:val="Form-Bodytext1Char"/>
          <w:b/>
          <w:bCs/>
        </w:rPr>
        <w:lastRenderedPageBreak/>
        <w:t>7)</w:t>
      </w:r>
      <w:r w:rsidRPr="002419F1">
        <w:rPr>
          <w:rStyle w:val="Form-Bodytext1Char"/>
        </w:rPr>
        <w:tab/>
        <w:t>Is your facility currently covered by a permit that contains a Plantwide Applicability Limit (“actuals PAL”) as defined at 40</w:t>
      </w:r>
      <w:r w:rsidR="00F22797">
        <w:rPr>
          <w:rStyle w:val="Form-Bodytext1Char"/>
        </w:rPr>
        <w:t> </w:t>
      </w:r>
      <w:r w:rsidRPr="002419F1">
        <w:rPr>
          <w:rStyle w:val="Form-Bodytext1Char"/>
        </w:rPr>
        <w:t>CFR</w:t>
      </w:r>
      <w:r w:rsidR="00F22797">
        <w:rPr>
          <w:rStyle w:val="Form-Bodytext1Char"/>
        </w:rPr>
        <w:t> </w:t>
      </w:r>
      <w:r w:rsidRPr="002419F1">
        <w:rPr>
          <w:rStyle w:val="Form-Bodytext1Char"/>
        </w:rPr>
        <w:t>§</w:t>
      </w:r>
      <w:r w:rsidR="00F22797">
        <w:rPr>
          <w:rStyle w:val="Form-Bodytext1Char"/>
        </w:rPr>
        <w:t> </w:t>
      </w:r>
      <w:r w:rsidRPr="002419F1">
        <w:rPr>
          <w:rStyle w:val="Form-Bodytext1Char"/>
        </w:rPr>
        <w:t>52.21(aa)(2)(i) and (v)?</w:t>
      </w:r>
    </w:p>
    <w:p w14:paraId="31BCEC33" w14:textId="1C4BD244" w:rsidR="002419F1" w:rsidRPr="002419F1" w:rsidRDefault="002419F1" w:rsidP="001F105F">
      <w:pPr>
        <w:pStyle w:val="Form-Bodytext1"/>
        <w:keepNext/>
        <w:keepLines/>
        <w:tabs>
          <w:tab w:val="left" w:pos="533"/>
          <w:tab w:val="left" w:pos="1066"/>
        </w:tabs>
        <w:ind w:left="54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rsidR="00EE782B">
        <w:t xml:space="preserve">  </w:t>
      </w:r>
      <w:r w:rsidRPr="002419F1">
        <w:rPr>
          <w:rStyle w:val="Form-Bodytext1Char"/>
        </w:rPr>
        <w:t>Yes.</w:t>
      </w:r>
      <w:r w:rsidR="00F22797">
        <w:rPr>
          <w:rStyle w:val="Form-Bodytext1Char"/>
        </w:rPr>
        <w:tab/>
      </w:r>
      <w:r w:rsidRPr="002419F1">
        <w:rPr>
          <w:rStyle w:val="Form-Bodytext1Char"/>
        </w:rPr>
        <w:t>Go to question 8.</w:t>
      </w:r>
    </w:p>
    <w:p w14:paraId="1F91E0F6" w14:textId="3BB3DF82" w:rsidR="002419F1" w:rsidRDefault="002419F1" w:rsidP="001F105F">
      <w:pPr>
        <w:pStyle w:val="Form-Bodytext1"/>
        <w:tabs>
          <w:tab w:val="left" w:pos="533"/>
          <w:tab w:val="left" w:pos="1066"/>
        </w:tabs>
        <w:spacing w:before="60"/>
        <w:ind w:left="54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rsidR="00EE782B">
        <w:t xml:space="preserve">  </w:t>
      </w:r>
      <w:r w:rsidRPr="002419F1">
        <w:rPr>
          <w:rStyle w:val="Form-Bodytext1Char"/>
        </w:rPr>
        <w:t>No.</w:t>
      </w:r>
      <w:r w:rsidR="00F22797">
        <w:rPr>
          <w:rStyle w:val="Form-Bodytext1Char"/>
        </w:rPr>
        <w:tab/>
      </w:r>
      <w:r w:rsidRPr="002419F1">
        <w:rPr>
          <w:rStyle w:val="Form-Bodytext1Char"/>
        </w:rPr>
        <w:t>Go to question 9.</w:t>
      </w:r>
    </w:p>
    <w:p w14:paraId="475B6321" w14:textId="77777777" w:rsidR="00EE782B" w:rsidRPr="00EE782B" w:rsidRDefault="00EE782B" w:rsidP="00D621C5">
      <w:pPr>
        <w:pStyle w:val="Form-Bodytext1"/>
        <w:tabs>
          <w:tab w:val="left" w:pos="533"/>
        </w:tabs>
        <w:spacing w:before="240"/>
        <w:ind w:left="540" w:hanging="540"/>
        <w:rPr>
          <w:rStyle w:val="Form-Bodytext1Char"/>
        </w:rPr>
      </w:pPr>
      <w:r w:rsidRPr="00F22797">
        <w:rPr>
          <w:rStyle w:val="Form-Bodytext1Char"/>
          <w:b/>
          <w:bCs/>
        </w:rPr>
        <w:t>8)</w:t>
      </w:r>
      <w:r w:rsidRPr="00EE782B">
        <w:rPr>
          <w:rStyle w:val="Form-Bodytext1Char"/>
        </w:rPr>
        <w:tab/>
        <w:t>Are you able to continue to meet the emissions limits set by the Plantwide Applicability Limit after the project?</w:t>
      </w:r>
    </w:p>
    <w:p w14:paraId="17F6CE25" w14:textId="72C3C659" w:rsidR="00EE782B" w:rsidRPr="00EE782B" w:rsidRDefault="00F22797" w:rsidP="00F22797">
      <w:pPr>
        <w:pStyle w:val="Form-Bodytext1"/>
        <w:tabs>
          <w:tab w:val="left" w:pos="540"/>
          <w:tab w:val="left" w:pos="1066"/>
        </w:tabs>
        <w:ind w:left="1440" w:hanging="893"/>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t xml:space="preserve">  </w:t>
      </w:r>
      <w:r w:rsidR="00EE782B" w:rsidRPr="00EE782B">
        <w:rPr>
          <w:rStyle w:val="Form-Bodytext1Char"/>
        </w:rPr>
        <w:t>Yes.</w:t>
      </w:r>
      <w:r>
        <w:rPr>
          <w:rStyle w:val="Form-Bodytext1Char"/>
        </w:rPr>
        <w:tab/>
      </w:r>
      <w:r w:rsidR="00EE782B" w:rsidRPr="00EE782B">
        <w:rPr>
          <w:rStyle w:val="Form-Bodytext1Char"/>
        </w:rPr>
        <w:t xml:space="preserve">NSR is not applicable to the proposed change/modification. You need not complete the remainder of this form. You must determine if an amendment is needed under Minn. R. 7007.1150 – 7007.1500. </w:t>
      </w:r>
    </w:p>
    <w:p w14:paraId="724F1D28" w14:textId="4E9BDD9D" w:rsidR="00EE782B" w:rsidRPr="00EE782B" w:rsidRDefault="00F22797" w:rsidP="001F105F">
      <w:pPr>
        <w:pStyle w:val="Form-Bodytext1"/>
        <w:tabs>
          <w:tab w:val="left" w:pos="540"/>
          <w:tab w:val="left" w:pos="1066"/>
        </w:tabs>
        <w:spacing w:before="60"/>
        <w:ind w:left="1440" w:hanging="90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t xml:space="preserve">  </w:t>
      </w:r>
      <w:r w:rsidR="00EE782B" w:rsidRPr="00EE782B">
        <w:rPr>
          <w:rStyle w:val="Form-Bodytext1Char"/>
        </w:rPr>
        <w:t xml:space="preserve">No. </w:t>
      </w:r>
      <w:r>
        <w:rPr>
          <w:rStyle w:val="Form-Bodytext1Char"/>
        </w:rPr>
        <w:tab/>
      </w:r>
      <w:r w:rsidR="00EE782B" w:rsidRPr="00EE782B">
        <w:rPr>
          <w:rStyle w:val="Form-Bodytext1Char"/>
        </w:rPr>
        <w:t xml:space="preserve">You must complete a Best Available Control Technology (BACT) analysis for all major and significant emissions units at your source. If installation of BACT still does not allow you to install the emission unit and maintain compliance with your PAL, you may apply for an increase in your PAL. Please see the Minnesota Pollution Control Agency (MPCA) </w:t>
      </w:r>
      <w:r w:rsidR="001E0F59">
        <w:rPr>
          <w:rStyle w:val="Form-Bodytext1Char"/>
        </w:rPr>
        <w:t>forms</w:t>
      </w:r>
      <w:r w:rsidR="00EE782B" w:rsidRPr="00EE782B">
        <w:rPr>
          <w:rStyle w:val="Form-Bodytext1Char"/>
        </w:rPr>
        <w:t xml:space="preserve"> on PALs at </w:t>
      </w:r>
      <w:hyperlink r:id="rId8" w:history="1">
        <w:r w:rsidR="001E0F59" w:rsidRPr="006645C6">
          <w:rPr>
            <w:rStyle w:val="Hyperlink"/>
          </w:rPr>
          <w:t>https://www.pca.state.mn.us/business-with-us/air-permit-application-forms</w:t>
        </w:r>
      </w:hyperlink>
      <w:r w:rsidR="001E0F59">
        <w:rPr>
          <w:rStyle w:val="Form-Bodytext1Char"/>
        </w:rPr>
        <w:t xml:space="preserve"> </w:t>
      </w:r>
      <w:r w:rsidR="00EE782B" w:rsidRPr="00EE782B">
        <w:rPr>
          <w:rStyle w:val="Form-Bodytext1Char"/>
        </w:rPr>
        <w:t>or</w:t>
      </w:r>
      <w:r w:rsidR="001E0F59">
        <w:rPr>
          <w:rStyle w:val="Form-Bodytext1Char"/>
        </w:rPr>
        <w:t xml:space="preserve"> PAL information available here </w:t>
      </w:r>
      <w:hyperlink r:id="rId9" w:history="1">
        <w:r w:rsidR="001E0F59" w:rsidRPr="006645C6">
          <w:rPr>
            <w:rStyle w:val="Hyperlink"/>
          </w:rPr>
          <w:t>https://www.pca.state.mn.us/business-with-us/new-source-review</w:t>
        </w:r>
      </w:hyperlink>
      <w:r w:rsidR="00EE782B" w:rsidRPr="00EE782B">
        <w:rPr>
          <w:rStyle w:val="Form-Bodytext1Char"/>
        </w:rPr>
        <w:t xml:space="preserve">, for guidance on increasing a PAL. Do not complete the remainder of this form. </w:t>
      </w:r>
    </w:p>
    <w:p w14:paraId="601E7ED1" w14:textId="77777777" w:rsidR="00EE782B" w:rsidRPr="00EE782B" w:rsidRDefault="00EE782B" w:rsidP="00D621C5">
      <w:pPr>
        <w:pStyle w:val="Form-Bodytext1"/>
        <w:tabs>
          <w:tab w:val="left" w:pos="533"/>
        </w:tabs>
        <w:spacing w:before="240"/>
        <w:ind w:left="540" w:hanging="540"/>
        <w:rPr>
          <w:rStyle w:val="Form-Bodytext1Char"/>
        </w:rPr>
      </w:pPr>
      <w:r w:rsidRPr="00F22797">
        <w:rPr>
          <w:rStyle w:val="Form-Bodytext1Char"/>
          <w:b/>
          <w:bCs/>
        </w:rPr>
        <w:t>9)</w:t>
      </w:r>
      <w:r w:rsidRPr="00EE782B">
        <w:rPr>
          <w:rStyle w:val="Form-Bodytext1Char"/>
        </w:rPr>
        <w:tab/>
        <w:t>Synthetic Minor Source:  Are you proposing new or revised federally enforceable limits such that the entire facility (including the proposed modification) will become or remain a minor source?</w:t>
      </w:r>
    </w:p>
    <w:p w14:paraId="0CF3F85D" w14:textId="4C91A2D5" w:rsidR="00EE782B" w:rsidRPr="00EE782B" w:rsidRDefault="00F22797" w:rsidP="00F22797">
      <w:pPr>
        <w:pStyle w:val="Form-Bodytext1"/>
        <w:tabs>
          <w:tab w:val="left" w:pos="533"/>
          <w:tab w:val="left" w:pos="1066"/>
        </w:tabs>
        <w:ind w:left="1440" w:hanging="90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t xml:space="preserve">  </w:t>
      </w:r>
      <w:r w:rsidR="00EE782B" w:rsidRPr="00EE782B">
        <w:rPr>
          <w:rStyle w:val="Form-Bodytext1Char"/>
        </w:rPr>
        <w:t>Yes.</w:t>
      </w:r>
      <w:r w:rsidR="001C3E0A">
        <w:rPr>
          <w:rStyle w:val="Form-Bodytext1Char"/>
        </w:rPr>
        <w:tab/>
      </w:r>
      <w:proofErr w:type="gramStart"/>
      <w:r w:rsidR="00EE782B" w:rsidRPr="00EE782B">
        <w:rPr>
          <w:rStyle w:val="Form-Bodytext1Char"/>
        </w:rPr>
        <w:t>Submit an application</w:t>
      </w:r>
      <w:proofErr w:type="gramEnd"/>
      <w:r w:rsidR="00EE782B" w:rsidRPr="00EE782B">
        <w:rPr>
          <w:rStyle w:val="Form-Bodytext1Char"/>
        </w:rPr>
        <w:t xml:space="preserve"> for a major amendment. Refer to the MPCA website at </w:t>
      </w:r>
      <w:hyperlink r:id="rId10" w:history="1">
        <w:r w:rsidR="00E52342" w:rsidRPr="006645C6">
          <w:rPr>
            <w:rStyle w:val="Hyperlink"/>
          </w:rPr>
          <w:t>https://www.pca.state.mn.us/business-with-us/synthetic-minor-permit-limits</w:t>
        </w:r>
      </w:hyperlink>
      <w:r w:rsidR="00E52342">
        <w:rPr>
          <w:rStyle w:val="Form-Bodytext1Char"/>
        </w:rPr>
        <w:t xml:space="preserve"> </w:t>
      </w:r>
      <w:r w:rsidR="00EE782B" w:rsidRPr="00EE782B">
        <w:rPr>
          <w:rStyle w:val="Form-Bodytext1Char"/>
        </w:rPr>
        <w:t xml:space="preserve"> for guidance on setting limits. Put proposed limits and proposed compliance demonstration on form CD-01. Do not complete form CH-04a. If you are revising an existing federally enforceable limit, complete form CH-04b to document emission changes. </w:t>
      </w:r>
    </w:p>
    <w:p w14:paraId="325AB37F" w14:textId="7807DC32" w:rsidR="00F22797" w:rsidRPr="00EE782B" w:rsidRDefault="00F22797" w:rsidP="001F105F">
      <w:pPr>
        <w:pStyle w:val="Form-Bodytext1"/>
        <w:tabs>
          <w:tab w:val="left" w:pos="533"/>
          <w:tab w:val="left" w:pos="1066"/>
        </w:tabs>
        <w:spacing w:before="60"/>
        <w:ind w:left="1440" w:hanging="900"/>
        <w:rPr>
          <w:rStyle w:val="Form-Bodytext1Char"/>
        </w:rPr>
      </w:pPr>
      <w:r>
        <w:fldChar w:fldCharType="begin">
          <w:ffData>
            <w:name w:val="Check6"/>
            <w:enabled/>
            <w:calcOnExit w:val="0"/>
            <w:checkBox>
              <w:sizeAuto/>
              <w:default w:val="0"/>
            </w:checkBox>
          </w:ffData>
        </w:fldChar>
      </w:r>
      <w:r>
        <w:instrText xml:space="preserve"> FORMCHECKBOX </w:instrText>
      </w:r>
      <w:r w:rsidR="004558E9">
        <w:fldChar w:fldCharType="separate"/>
      </w:r>
      <w:r>
        <w:fldChar w:fldCharType="end"/>
      </w:r>
      <w:r>
        <w:t xml:space="preserve">  </w:t>
      </w:r>
      <w:r w:rsidR="00EE782B" w:rsidRPr="00EE782B">
        <w:rPr>
          <w:rStyle w:val="Form-Bodytext1Char"/>
        </w:rPr>
        <w:t>No.</w:t>
      </w:r>
      <w:r w:rsidR="00EE782B" w:rsidRPr="00EE782B">
        <w:rPr>
          <w:rStyle w:val="Form-Bodytext1Char"/>
        </w:rPr>
        <w:tab/>
        <w:t>If you answered “Yes” to question 6, go to form CH-04a.</w:t>
      </w:r>
      <w:r>
        <w:rPr>
          <w:rStyle w:val="Form-Bodytext1Char"/>
        </w:rPr>
        <w:br/>
      </w:r>
      <w:r w:rsidRPr="00EE782B">
        <w:rPr>
          <w:rStyle w:val="Form-Bodytext1Char"/>
        </w:rPr>
        <w:t>If you answered “No” to question 6, go to form CH-04b.</w:t>
      </w:r>
    </w:p>
    <w:sectPr w:rsidR="00F22797" w:rsidRPr="00EE782B" w:rsidSect="00D621C5">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D0EAB" w14:textId="77777777" w:rsidR="00D1155A" w:rsidRDefault="00D1155A" w:rsidP="00276BFD">
      <w:r>
        <w:separator/>
      </w:r>
    </w:p>
  </w:endnote>
  <w:endnote w:type="continuationSeparator" w:id="0">
    <w:p w14:paraId="71CA5225"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B00E"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D77BB36"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5555F450" w14:textId="23A11EC7" w:rsidR="004A6D28" w:rsidRPr="003D65E7" w:rsidRDefault="00B07DB0"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aq-f2-ch04</w:t>
    </w:r>
    <w:r w:rsidR="004A6D28" w:rsidRPr="003D65E7">
      <w:rPr>
        <w:rFonts w:ascii="Calibri" w:hAnsi="Calibri" w:cs="Arial"/>
        <w:i/>
        <w:sz w:val="16"/>
        <w:szCs w:val="16"/>
      </w:rPr>
      <w:t xml:space="preserve">  •  </w:t>
    </w:r>
    <w:r w:rsidR="001F105F">
      <w:rPr>
        <w:rFonts w:ascii="Calibri" w:hAnsi="Calibri" w:cs="Arial"/>
        <w:i/>
        <w:sz w:val="16"/>
        <w:szCs w:val="16"/>
      </w:rPr>
      <w:t>12/</w:t>
    </w:r>
    <w:r w:rsidR="00F92A6A">
      <w:rPr>
        <w:rFonts w:ascii="Calibri" w:hAnsi="Calibri" w:cs="Arial"/>
        <w:i/>
        <w:sz w:val="16"/>
        <w:szCs w:val="16"/>
      </w:rPr>
      <w:t>29</w:t>
    </w:r>
    <w:r w:rsidR="001F105F">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E0759A">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E0759A">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8051" w14:textId="77777777" w:rsidR="00D1155A" w:rsidRDefault="00D1155A" w:rsidP="00276BFD">
      <w:r>
        <w:separator/>
      </w:r>
    </w:p>
  </w:footnote>
  <w:footnote w:type="continuationSeparator" w:id="0">
    <w:p w14:paraId="4FD793B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KocEwand+WRSP36jFhiVR8TxwApwsM6V/NsvY52VeenWZqJZSgEihgToVoo6pgxKvuH9faUX88ZMeafRT897Q==" w:salt="h2RtxHUVMAZk09E03FmEIg=="/>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60CC"/>
    <w:rsid w:val="000C0BC3"/>
    <w:rsid w:val="000D34B8"/>
    <w:rsid w:val="0010489B"/>
    <w:rsid w:val="0011088E"/>
    <w:rsid w:val="00151647"/>
    <w:rsid w:val="001534D6"/>
    <w:rsid w:val="00165736"/>
    <w:rsid w:val="00176EA1"/>
    <w:rsid w:val="001A0E3E"/>
    <w:rsid w:val="001C3E0A"/>
    <w:rsid w:val="001E0F59"/>
    <w:rsid w:val="001F105F"/>
    <w:rsid w:val="00202F5E"/>
    <w:rsid w:val="002158CA"/>
    <w:rsid w:val="002419F1"/>
    <w:rsid w:val="00274A83"/>
    <w:rsid w:val="00276BFD"/>
    <w:rsid w:val="002818DB"/>
    <w:rsid w:val="002A555F"/>
    <w:rsid w:val="002B2B95"/>
    <w:rsid w:val="002C5280"/>
    <w:rsid w:val="002D6A1E"/>
    <w:rsid w:val="002F29B0"/>
    <w:rsid w:val="00315202"/>
    <w:rsid w:val="003178C5"/>
    <w:rsid w:val="00321182"/>
    <w:rsid w:val="00321966"/>
    <w:rsid w:val="003427BC"/>
    <w:rsid w:val="00370447"/>
    <w:rsid w:val="003C5B59"/>
    <w:rsid w:val="003D65E7"/>
    <w:rsid w:val="003E1EC1"/>
    <w:rsid w:val="003E75DA"/>
    <w:rsid w:val="00404898"/>
    <w:rsid w:val="0042650D"/>
    <w:rsid w:val="004558E9"/>
    <w:rsid w:val="00455D70"/>
    <w:rsid w:val="00462F79"/>
    <w:rsid w:val="00463548"/>
    <w:rsid w:val="004A6D28"/>
    <w:rsid w:val="004C1DFE"/>
    <w:rsid w:val="004E6E1D"/>
    <w:rsid w:val="004F3D41"/>
    <w:rsid w:val="00503D44"/>
    <w:rsid w:val="0050447E"/>
    <w:rsid w:val="00507512"/>
    <w:rsid w:val="00516110"/>
    <w:rsid w:val="00533467"/>
    <w:rsid w:val="005471FB"/>
    <w:rsid w:val="005517CB"/>
    <w:rsid w:val="0058714B"/>
    <w:rsid w:val="005C6B1D"/>
    <w:rsid w:val="005D7E3C"/>
    <w:rsid w:val="00611633"/>
    <w:rsid w:val="0062659D"/>
    <w:rsid w:val="00642A5F"/>
    <w:rsid w:val="0064522D"/>
    <w:rsid w:val="00672CC5"/>
    <w:rsid w:val="006B289C"/>
    <w:rsid w:val="006C4082"/>
    <w:rsid w:val="006D0B11"/>
    <w:rsid w:val="006E439E"/>
    <w:rsid w:val="006F1DBA"/>
    <w:rsid w:val="00712ECC"/>
    <w:rsid w:val="0077248A"/>
    <w:rsid w:val="007C0065"/>
    <w:rsid w:val="007C389A"/>
    <w:rsid w:val="007E1863"/>
    <w:rsid w:val="00820C3A"/>
    <w:rsid w:val="008303E2"/>
    <w:rsid w:val="00851DCF"/>
    <w:rsid w:val="00853078"/>
    <w:rsid w:val="008A2387"/>
    <w:rsid w:val="008C195B"/>
    <w:rsid w:val="008C2C87"/>
    <w:rsid w:val="008F335D"/>
    <w:rsid w:val="009637B7"/>
    <w:rsid w:val="009B7BCC"/>
    <w:rsid w:val="009C40A6"/>
    <w:rsid w:val="009D0CED"/>
    <w:rsid w:val="00A24DA8"/>
    <w:rsid w:val="00A4065F"/>
    <w:rsid w:val="00A83853"/>
    <w:rsid w:val="00AE6F7C"/>
    <w:rsid w:val="00AE7E25"/>
    <w:rsid w:val="00B000B0"/>
    <w:rsid w:val="00B07DB0"/>
    <w:rsid w:val="00B1066E"/>
    <w:rsid w:val="00B24143"/>
    <w:rsid w:val="00B54CB1"/>
    <w:rsid w:val="00B953D6"/>
    <w:rsid w:val="00BB4AE8"/>
    <w:rsid w:val="00BD5633"/>
    <w:rsid w:val="00BE5C1A"/>
    <w:rsid w:val="00C06217"/>
    <w:rsid w:val="00C20ABF"/>
    <w:rsid w:val="00C21ACF"/>
    <w:rsid w:val="00C35B33"/>
    <w:rsid w:val="00C44F64"/>
    <w:rsid w:val="00C4799C"/>
    <w:rsid w:val="00C528B8"/>
    <w:rsid w:val="00C53F36"/>
    <w:rsid w:val="00C80170"/>
    <w:rsid w:val="00C86512"/>
    <w:rsid w:val="00CB10FD"/>
    <w:rsid w:val="00CB3002"/>
    <w:rsid w:val="00CC4AF3"/>
    <w:rsid w:val="00CF2860"/>
    <w:rsid w:val="00D0330C"/>
    <w:rsid w:val="00D1155A"/>
    <w:rsid w:val="00D46981"/>
    <w:rsid w:val="00D53867"/>
    <w:rsid w:val="00D621C5"/>
    <w:rsid w:val="00D77602"/>
    <w:rsid w:val="00DB2DD3"/>
    <w:rsid w:val="00DD6B22"/>
    <w:rsid w:val="00E0759A"/>
    <w:rsid w:val="00E234B8"/>
    <w:rsid w:val="00E2747A"/>
    <w:rsid w:val="00E32BFE"/>
    <w:rsid w:val="00E34E5E"/>
    <w:rsid w:val="00E36256"/>
    <w:rsid w:val="00E52342"/>
    <w:rsid w:val="00E66E3D"/>
    <w:rsid w:val="00E81B26"/>
    <w:rsid w:val="00EA05CB"/>
    <w:rsid w:val="00EA40E5"/>
    <w:rsid w:val="00EA4DCB"/>
    <w:rsid w:val="00EB2BD8"/>
    <w:rsid w:val="00EE314E"/>
    <w:rsid w:val="00EE782B"/>
    <w:rsid w:val="00F00755"/>
    <w:rsid w:val="00F22797"/>
    <w:rsid w:val="00F2691D"/>
    <w:rsid w:val="00F710DA"/>
    <w:rsid w:val="00F72D23"/>
    <w:rsid w:val="00F86D42"/>
    <w:rsid w:val="00F92A6A"/>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4FC9280"/>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UnresolvedMention">
    <w:name w:val="Unresolved Mention"/>
    <w:basedOn w:val="DefaultParagraphFont"/>
    <w:uiPriority w:val="99"/>
    <w:semiHidden/>
    <w:unhideWhenUsed/>
    <w:rsid w:val="00E52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business-with-us/air-permit-application-for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ca.state.mn.us/business-with-us/synthetic-minor-permit-limits" TargetMode="External"/><Relationship Id="rId4" Type="http://schemas.openxmlformats.org/officeDocument/2006/relationships/webSettings" Target="webSettings.xml"/><Relationship Id="rId9" Type="http://schemas.openxmlformats.org/officeDocument/2006/relationships/hyperlink" Target="https://www.pca.state.mn.us/business-with-us/new-source-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CH-04 Determination of New Source Review Status form - Air Quality Permit Program - Form</vt:lpstr>
    </vt:vector>
  </TitlesOfParts>
  <Manager>Chris Klucas (SS)</Manager>
  <Company>PCA</Company>
  <LinksUpToDate>false</LinksUpToDate>
  <CharactersWithSpaces>6086</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CH-04 Determination of New Source Review Status form - Air Quality Permit Program - Form</dc:title>
  <dc:subject>Form used to determine NSR status of facility</dc:subject>
  <dc:creator>Minnesota Pollution Control Agency - T.Volkmeier, C.Meyer (Chris Klucas)</dc:creator>
  <cp:keywords>Minnesota Pollution Control Agency,aq-f2-ch04,MPCA,air quality,permits,New Source Review</cp:keywords>
  <dc:description/>
  <cp:lastModifiedBy>Simbeck, Sandra (MPCA)</cp:lastModifiedBy>
  <cp:revision>7</cp:revision>
  <cp:lastPrinted>2018-04-17T12:39:00Z</cp:lastPrinted>
  <dcterms:created xsi:type="dcterms:W3CDTF">2022-12-16T16:39:00Z</dcterms:created>
  <dcterms:modified xsi:type="dcterms:W3CDTF">2022-12-29T20:07:00Z</dcterms:modified>
  <cp:category>air quality,permitting</cp:category>
</cp:coreProperties>
</file>