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>
        <w:trPr>
          <w:cantSplit/>
          <w:trHeight w:val="1350"/>
        </w:trPr>
        <w:tc>
          <w:tcPr>
            <w:tcW w:w="3978" w:type="dxa"/>
          </w:tcPr>
          <w:p w:rsidR="008303E2" w:rsidRDefault="0064522D" w:rsidP="002C5280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8303E2" w:rsidRPr="00CF2860" w:rsidRDefault="00AD7A3A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2020 – 2025 Industrial stormwater sampling worksheet</w:t>
            </w:r>
          </w:p>
          <w:p w:rsidR="005517CB" w:rsidRPr="005517CB" w:rsidRDefault="00AD7A3A" w:rsidP="003C43F2">
            <w:pPr>
              <w:pStyle w:val="Form-Title2"/>
            </w:pPr>
            <w:r>
              <w:t>Industrial Stormwater Program</w:t>
            </w:r>
          </w:p>
        </w:tc>
      </w:tr>
    </w:tbl>
    <w:p w:rsidR="00AE6F7C" w:rsidRPr="003C43F2" w:rsidRDefault="00AE6F7C" w:rsidP="003C43F2">
      <w:pPr>
        <w:pStyle w:val="Form-Bodytext1"/>
        <w:spacing w:before="360" w:after="240"/>
      </w:pPr>
      <w:r w:rsidRPr="003C43F2">
        <w:rPr>
          <w:rStyle w:val="Form-Bodytext2Char"/>
        </w:rPr>
        <w:t>Instructions:</w:t>
      </w:r>
      <w:r w:rsidRPr="003C43F2">
        <w:t xml:space="preserve"> </w:t>
      </w:r>
      <w:r w:rsidR="003C43F2" w:rsidRPr="003C43F2">
        <w:t xml:space="preserve"> </w:t>
      </w:r>
      <w:r w:rsidR="00722B71" w:rsidRPr="003C43F2">
        <w:rPr>
          <w:rStyle w:val="Form-Bodytext1Char"/>
        </w:rPr>
        <w:t>This form is to be used to define your monitoring schedule as required in the 2020 General ISW Permit.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547"/>
      </w:tblGrid>
      <w:tr w:rsidR="00AD7A3A" w:rsidTr="00AD7A3A">
        <w:tc>
          <w:tcPr>
            <w:tcW w:w="3955" w:type="dxa"/>
            <w:tcMar>
              <w:left w:w="0" w:type="dxa"/>
              <w:right w:w="115" w:type="dxa"/>
            </w:tcMar>
          </w:tcPr>
          <w:p w:rsidR="00AD7A3A" w:rsidRDefault="00AD7A3A" w:rsidP="007C0065">
            <w:pPr>
              <w:pStyle w:val="Form-Bodytext1"/>
            </w:pPr>
            <w:r>
              <w:t>Record your industrial stormwater subsector(s):</w:t>
            </w:r>
          </w:p>
        </w:tc>
        <w:tc>
          <w:tcPr>
            <w:tcW w:w="6547" w:type="dxa"/>
            <w:tcBorders>
              <w:bottom w:val="single" w:sz="2" w:space="0" w:color="auto"/>
            </w:tcBorders>
          </w:tcPr>
          <w:p w:rsidR="00AD7A3A" w:rsidRDefault="00AD7A3A" w:rsidP="00340FC9">
            <w:pPr>
              <w:pStyle w:val="Form-Bodytext1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0" w:name="Text112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:rsidR="00AD7A3A" w:rsidRDefault="008F2D62" w:rsidP="00340FC9">
      <w:pPr>
        <w:pStyle w:val="Heading2"/>
        <w:keepNext w:val="0"/>
        <w:widowControl w:val="0"/>
        <w:spacing w:before="360" w:after="120"/>
        <w:ind w:left="1224" w:hanging="1224"/>
        <w:rPr>
          <w:rStyle w:val="Form-Heading1Char"/>
        </w:rPr>
      </w:pPr>
      <w:r>
        <w:rPr>
          <w:rStyle w:val="Form-Heading1Char"/>
        </w:rPr>
        <w:t>Quarterly sampling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77"/>
        <w:gridCol w:w="2043"/>
        <w:gridCol w:w="2340"/>
        <w:gridCol w:w="3276"/>
        <w:gridCol w:w="1466"/>
      </w:tblGrid>
      <w:tr w:rsidR="00AD7A3A" w:rsidRPr="00AD7A3A" w:rsidTr="00375A1E">
        <w:tc>
          <w:tcPr>
            <w:tcW w:w="1377" w:type="dxa"/>
            <w:tcMar>
              <w:left w:w="43" w:type="dxa"/>
            </w:tcMar>
            <w:vAlign w:val="bottom"/>
          </w:tcPr>
          <w:p w:rsidR="00AD7A3A" w:rsidRPr="00AD7A3A" w:rsidRDefault="00AD7A3A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Quarter</w:t>
            </w:r>
          </w:p>
        </w:tc>
        <w:tc>
          <w:tcPr>
            <w:tcW w:w="2043" w:type="dxa"/>
            <w:vAlign w:val="bottom"/>
          </w:tcPr>
          <w:p w:rsidR="00AD7A3A" w:rsidRPr="00AD7A3A" w:rsidRDefault="00AD7A3A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Parameters</w:t>
            </w:r>
          </w:p>
        </w:tc>
        <w:tc>
          <w:tcPr>
            <w:tcW w:w="2340" w:type="dxa"/>
            <w:vAlign w:val="bottom"/>
          </w:tcPr>
          <w:p w:rsidR="00AD7A3A" w:rsidRPr="00AD7A3A" w:rsidRDefault="00AD7A3A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Permit benchmark values</w:t>
            </w:r>
          </w:p>
        </w:tc>
        <w:tc>
          <w:tcPr>
            <w:tcW w:w="3276" w:type="dxa"/>
            <w:vAlign w:val="bottom"/>
          </w:tcPr>
          <w:p w:rsidR="00AD7A3A" w:rsidRPr="00AD7A3A" w:rsidRDefault="00AD7A3A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Results</w:t>
            </w:r>
          </w:p>
        </w:tc>
        <w:tc>
          <w:tcPr>
            <w:tcW w:w="1466" w:type="dxa"/>
            <w:vAlign w:val="bottom"/>
          </w:tcPr>
          <w:p w:rsidR="00AD7A3A" w:rsidRPr="00AD7A3A" w:rsidRDefault="00AD7A3A" w:rsidP="00340FC9">
            <w:pPr>
              <w:pStyle w:val="Form-Bodytext1"/>
              <w:spacing w:before="0"/>
            </w:pPr>
            <w:r>
              <w:rPr>
                <w:b/>
              </w:rPr>
              <w:t xml:space="preserve">Report due date </w:t>
            </w:r>
            <w:r>
              <w:t>(mm/dd/yyyy)</w:t>
            </w:r>
          </w:p>
        </w:tc>
      </w:tr>
      <w:tr w:rsidR="00375A1E" w:rsidTr="000050AB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375A1E" w:rsidRDefault="00375A1E" w:rsidP="00725DF9">
            <w:pPr>
              <w:pStyle w:val="Form-Bodytext1"/>
              <w:rPr>
                <w:b/>
              </w:rPr>
            </w:pPr>
            <w:r>
              <w:rPr>
                <w:b/>
              </w:rPr>
              <w:t>1</w:t>
            </w:r>
            <w:r w:rsidRPr="00AD7A3A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725DF9">
              <w:rPr>
                <w:b/>
              </w:rPr>
              <w:t>Quarter</w:t>
            </w:r>
          </w:p>
          <w:p w:rsidR="00375A1E" w:rsidRPr="00AD7A3A" w:rsidRDefault="00375A1E" w:rsidP="00725DF9">
            <w:pPr>
              <w:pStyle w:val="Form-Bodytext1"/>
            </w:pPr>
            <w:r>
              <w:t>July 1, 2020 – Sept. 30, 2020</w:t>
            </w:r>
          </w:p>
        </w:tc>
        <w:tc>
          <w:tcPr>
            <w:tcW w:w="2043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" w:name="Text113"/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  <w:bookmarkEnd w:id="2"/>
          </w:p>
        </w:tc>
        <w:tc>
          <w:tcPr>
            <w:tcW w:w="2340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375A1E" w:rsidRDefault="00375A1E" w:rsidP="00725DF9">
            <w:pPr>
              <w:pStyle w:val="Form-Bodytext1"/>
            </w:pPr>
            <w:r>
              <w:t>Oct. 21, 2020</w:t>
            </w:r>
          </w:p>
        </w:tc>
      </w:tr>
      <w:tr w:rsidR="00375A1E" w:rsidTr="000050AB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375A1E" w:rsidRDefault="00375A1E" w:rsidP="00725DF9">
            <w:pPr>
              <w:pStyle w:val="Form-Bodytext1"/>
              <w:rPr>
                <w:b/>
              </w:rPr>
            </w:pPr>
            <w:r>
              <w:rPr>
                <w:b/>
              </w:rPr>
              <w:t>2</w:t>
            </w:r>
            <w:r w:rsidRPr="00AD7A3A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725DF9">
              <w:rPr>
                <w:b/>
              </w:rPr>
              <w:t>Quarter</w:t>
            </w:r>
          </w:p>
          <w:p w:rsidR="00375A1E" w:rsidRPr="00AD7A3A" w:rsidRDefault="00375A1E" w:rsidP="00725DF9">
            <w:pPr>
              <w:pStyle w:val="Form-Bodytext1"/>
            </w:pPr>
            <w:r>
              <w:t>Oct. 1, 2020 – Dec. 31, 2020</w:t>
            </w:r>
          </w:p>
        </w:tc>
        <w:tc>
          <w:tcPr>
            <w:tcW w:w="2043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375A1E" w:rsidRDefault="00375A1E" w:rsidP="00725DF9">
            <w:pPr>
              <w:pStyle w:val="Form-Bodytext1"/>
            </w:pPr>
            <w:r>
              <w:t>Jan. 21, 2021</w:t>
            </w:r>
          </w:p>
        </w:tc>
      </w:tr>
      <w:tr w:rsidR="00375A1E" w:rsidTr="000050AB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375A1E" w:rsidRPr="00AD7A3A" w:rsidRDefault="00375A1E" w:rsidP="00725DF9">
            <w:pPr>
              <w:pStyle w:val="Form-Bodytext1"/>
              <w:rPr>
                <w:b/>
              </w:rPr>
            </w:pPr>
            <w:r w:rsidRPr="00AD7A3A">
              <w:rPr>
                <w:b/>
              </w:rPr>
              <w:t>3</w:t>
            </w:r>
            <w:r w:rsidRPr="00AD7A3A">
              <w:rPr>
                <w:b/>
                <w:vertAlign w:val="superscript"/>
              </w:rPr>
              <w:t>rd</w:t>
            </w:r>
            <w:r w:rsidRPr="00AD7A3A">
              <w:rPr>
                <w:b/>
              </w:rPr>
              <w:t xml:space="preserve"> </w:t>
            </w:r>
            <w:r w:rsidR="00725DF9">
              <w:rPr>
                <w:b/>
              </w:rPr>
              <w:t>Quarter</w:t>
            </w:r>
          </w:p>
          <w:p w:rsidR="00375A1E" w:rsidRPr="00AD7A3A" w:rsidRDefault="00375A1E" w:rsidP="00725DF9">
            <w:pPr>
              <w:pStyle w:val="Form-Bodytext1"/>
            </w:pPr>
            <w:r>
              <w:t>Jan. 1, 2021 – Mar. 31, 2021</w:t>
            </w:r>
          </w:p>
        </w:tc>
        <w:tc>
          <w:tcPr>
            <w:tcW w:w="2043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375A1E" w:rsidRDefault="00375A1E" w:rsidP="00725DF9">
            <w:pPr>
              <w:pStyle w:val="Form-Bodytext1"/>
            </w:pPr>
            <w:r>
              <w:t>April 21, 2021</w:t>
            </w:r>
          </w:p>
        </w:tc>
      </w:tr>
      <w:tr w:rsidR="00375A1E" w:rsidTr="000050AB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375A1E" w:rsidRDefault="00375A1E" w:rsidP="00725DF9">
            <w:pPr>
              <w:pStyle w:val="Form-Bodytext1"/>
              <w:rPr>
                <w:b/>
              </w:rPr>
            </w:pPr>
            <w:r>
              <w:rPr>
                <w:b/>
              </w:rPr>
              <w:t>4</w:t>
            </w:r>
            <w:r w:rsidRPr="00375A1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25DF9">
              <w:rPr>
                <w:b/>
              </w:rPr>
              <w:t>Quarter</w:t>
            </w:r>
          </w:p>
          <w:p w:rsidR="00375A1E" w:rsidRPr="00375A1E" w:rsidRDefault="00375A1E" w:rsidP="00725DF9">
            <w:pPr>
              <w:pStyle w:val="Form-Bodytext1"/>
            </w:pPr>
            <w:r>
              <w:t>April 1, 2021 – June 30, 2021</w:t>
            </w:r>
          </w:p>
        </w:tc>
        <w:tc>
          <w:tcPr>
            <w:tcW w:w="2043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375A1E" w:rsidRDefault="00375A1E" w:rsidP="00725DF9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375A1E" w:rsidRDefault="00375A1E" w:rsidP="00725DF9">
            <w:pPr>
              <w:pStyle w:val="Form-Bodytext1"/>
            </w:pPr>
            <w:r>
              <w:t>July 21, 2021</w:t>
            </w:r>
          </w:p>
        </w:tc>
      </w:tr>
    </w:tbl>
    <w:p w:rsidR="00725DF9" w:rsidRDefault="00725DF9" w:rsidP="00725DF9">
      <w:pPr>
        <w:pStyle w:val="Form-Bodytext1"/>
        <w:spacing w:before="240"/>
        <w:rPr>
          <w:rFonts w:cs="Arial"/>
          <w:szCs w:val="18"/>
        </w:rPr>
      </w:pPr>
      <w:r>
        <w:t xml:space="preserve">Were samples collected in each of the four quarters?   </w:t>
      </w:r>
      <w:r w:rsidRPr="00E66E3D">
        <w:rPr>
          <w:rFonts w:cs="Arial"/>
          <w:szCs w:val="18"/>
        </w:rPr>
        <w:t xml:space="preserve"> </w:t>
      </w:r>
      <w:r w:rsidRPr="00E66E3D">
        <w:rPr>
          <w:rFonts w:cs="Arial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6E3D">
        <w:rPr>
          <w:rFonts w:cs="Arial"/>
          <w:szCs w:val="18"/>
        </w:rPr>
        <w:instrText xml:space="preserve"> FORMCHECKBOX </w:instrText>
      </w:r>
      <w:r w:rsidR="003C1C0F">
        <w:rPr>
          <w:rFonts w:cs="Arial"/>
          <w:szCs w:val="18"/>
        </w:rPr>
      </w:r>
      <w:r w:rsidR="003C1C0F">
        <w:rPr>
          <w:rFonts w:cs="Arial"/>
          <w:szCs w:val="18"/>
        </w:rPr>
        <w:fldChar w:fldCharType="separate"/>
      </w:r>
      <w:r w:rsidRPr="00E66E3D">
        <w:rPr>
          <w:rFonts w:cs="Arial"/>
          <w:szCs w:val="18"/>
        </w:rPr>
        <w:fldChar w:fldCharType="end"/>
      </w:r>
      <w:r w:rsidRPr="00E66E3D">
        <w:rPr>
          <w:rFonts w:cs="Arial"/>
          <w:szCs w:val="18"/>
        </w:rPr>
        <w:t xml:space="preserve"> Yes   </w:t>
      </w:r>
      <w:r w:rsidRPr="00E66E3D">
        <w:rPr>
          <w:rFonts w:cs="Arial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66E3D">
        <w:rPr>
          <w:rFonts w:cs="Arial"/>
          <w:szCs w:val="18"/>
        </w:rPr>
        <w:instrText xml:space="preserve"> FORMCHECKBOX </w:instrText>
      </w:r>
      <w:r w:rsidR="003C1C0F">
        <w:rPr>
          <w:rFonts w:cs="Arial"/>
          <w:szCs w:val="18"/>
        </w:rPr>
      </w:r>
      <w:r w:rsidR="003C1C0F">
        <w:rPr>
          <w:rFonts w:cs="Arial"/>
          <w:szCs w:val="18"/>
        </w:rPr>
        <w:fldChar w:fldCharType="separate"/>
      </w:r>
      <w:r w:rsidRPr="00E66E3D">
        <w:rPr>
          <w:rFonts w:cs="Arial"/>
          <w:szCs w:val="18"/>
        </w:rPr>
        <w:fldChar w:fldCharType="end"/>
      </w:r>
      <w:r w:rsidRPr="00E66E3D">
        <w:rPr>
          <w:rFonts w:cs="Arial"/>
          <w:szCs w:val="18"/>
        </w:rPr>
        <w:t xml:space="preserve"> No</w:t>
      </w:r>
    </w:p>
    <w:p w:rsidR="00762853" w:rsidRDefault="00762853" w:rsidP="00762853">
      <w:pPr>
        <w:pStyle w:val="Form-Bodytext1"/>
        <w:ind w:firstLine="360"/>
        <w:rPr>
          <w:rFonts w:cs="Arial"/>
          <w:b/>
          <w:szCs w:val="18"/>
        </w:rPr>
      </w:pPr>
      <w:r w:rsidRPr="00725DF9">
        <w:rPr>
          <w:rFonts w:cs="Arial"/>
          <w:b/>
          <w:szCs w:val="18"/>
        </w:rPr>
        <w:t>If no, continue sampling per the Industrial Stormwater Permit requirements.</w:t>
      </w:r>
    </w:p>
    <w:p w:rsidR="00725DF9" w:rsidRDefault="00725DF9" w:rsidP="00725DF9">
      <w:pPr>
        <w:pStyle w:val="Form-Bodytext1"/>
        <w:rPr>
          <w:rFonts w:cs="Arial"/>
          <w:szCs w:val="18"/>
        </w:rPr>
      </w:pPr>
      <w:r>
        <w:rPr>
          <w:rFonts w:cs="Arial"/>
          <w:szCs w:val="18"/>
        </w:rPr>
        <w:t xml:space="preserve">Are all four average results below permit benchmark values?  </w:t>
      </w:r>
      <w:r w:rsidRPr="00E66E3D">
        <w:rPr>
          <w:rFonts w:cs="Arial"/>
          <w:szCs w:val="18"/>
        </w:rPr>
        <w:t xml:space="preserve">  </w:t>
      </w:r>
      <w:r w:rsidRPr="00E66E3D">
        <w:rPr>
          <w:rFonts w:cs="Arial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6E3D">
        <w:rPr>
          <w:rFonts w:cs="Arial"/>
          <w:szCs w:val="18"/>
        </w:rPr>
        <w:instrText xml:space="preserve"> FORMCHECKBOX </w:instrText>
      </w:r>
      <w:r w:rsidR="003C1C0F">
        <w:rPr>
          <w:rFonts w:cs="Arial"/>
          <w:szCs w:val="18"/>
        </w:rPr>
      </w:r>
      <w:r w:rsidR="003C1C0F">
        <w:rPr>
          <w:rFonts w:cs="Arial"/>
          <w:szCs w:val="18"/>
        </w:rPr>
        <w:fldChar w:fldCharType="separate"/>
      </w:r>
      <w:r w:rsidRPr="00E66E3D">
        <w:rPr>
          <w:rFonts w:cs="Arial"/>
          <w:szCs w:val="18"/>
        </w:rPr>
        <w:fldChar w:fldCharType="end"/>
      </w:r>
      <w:r w:rsidRPr="00E66E3D">
        <w:rPr>
          <w:rFonts w:cs="Arial"/>
          <w:szCs w:val="18"/>
        </w:rPr>
        <w:t xml:space="preserve"> Yes   </w:t>
      </w:r>
      <w:r w:rsidRPr="00E66E3D">
        <w:rPr>
          <w:rFonts w:cs="Arial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66E3D">
        <w:rPr>
          <w:rFonts w:cs="Arial"/>
          <w:szCs w:val="18"/>
        </w:rPr>
        <w:instrText xml:space="preserve"> FORMCHECKBOX </w:instrText>
      </w:r>
      <w:r w:rsidR="003C1C0F">
        <w:rPr>
          <w:rFonts w:cs="Arial"/>
          <w:szCs w:val="18"/>
        </w:rPr>
      </w:r>
      <w:r w:rsidR="003C1C0F">
        <w:rPr>
          <w:rFonts w:cs="Arial"/>
          <w:szCs w:val="18"/>
        </w:rPr>
        <w:fldChar w:fldCharType="separate"/>
      </w:r>
      <w:r w:rsidRPr="00E66E3D">
        <w:rPr>
          <w:rFonts w:cs="Arial"/>
          <w:szCs w:val="18"/>
        </w:rPr>
        <w:fldChar w:fldCharType="end"/>
      </w:r>
      <w:r w:rsidRPr="00E66E3D">
        <w:rPr>
          <w:rFonts w:cs="Arial"/>
          <w:szCs w:val="18"/>
        </w:rPr>
        <w:t xml:space="preserve"> No</w:t>
      </w:r>
    </w:p>
    <w:p w:rsidR="00725DF9" w:rsidRDefault="00725DF9" w:rsidP="00725DF9">
      <w:pPr>
        <w:pStyle w:val="Form-Bodytext1"/>
        <w:spacing w:after="240"/>
        <w:ind w:firstLine="360"/>
        <w:rPr>
          <w:rFonts w:cs="Arial"/>
          <w:b/>
          <w:szCs w:val="18"/>
        </w:rPr>
      </w:pPr>
      <w:r w:rsidRPr="00725DF9">
        <w:rPr>
          <w:rFonts w:cs="Arial"/>
          <w:b/>
          <w:szCs w:val="18"/>
        </w:rPr>
        <w:t xml:space="preserve">If no, continue sampling </w:t>
      </w:r>
      <w:r w:rsidR="00762853">
        <w:rPr>
          <w:rFonts w:cs="Arial"/>
          <w:b/>
          <w:szCs w:val="18"/>
        </w:rPr>
        <w:t>for parameters that exceeded</w:t>
      </w:r>
      <w:r w:rsidRPr="00725DF9">
        <w:rPr>
          <w:rFonts w:cs="Arial"/>
          <w:b/>
          <w:szCs w:val="18"/>
        </w:rPr>
        <w:t xml:space="preserve"> </w:t>
      </w:r>
      <w:r w:rsidR="00762853">
        <w:rPr>
          <w:rFonts w:cs="Arial"/>
          <w:b/>
          <w:szCs w:val="18"/>
        </w:rPr>
        <w:t>p</w:t>
      </w:r>
      <w:r w:rsidRPr="00725DF9">
        <w:rPr>
          <w:rFonts w:cs="Arial"/>
          <w:b/>
          <w:szCs w:val="18"/>
        </w:rPr>
        <w:t>ermit requirements.</w:t>
      </w:r>
    </w:p>
    <w:p w:rsidR="00725DF9" w:rsidRDefault="00725DF9" w:rsidP="00340FC9">
      <w:pPr>
        <w:pStyle w:val="Form-Heading3"/>
        <w:spacing w:before="360" w:after="120"/>
        <w:rPr>
          <w:rFonts w:eastAsiaTheme="minorHAnsi"/>
        </w:rPr>
      </w:pPr>
      <w:r w:rsidRPr="00B805E8">
        <w:rPr>
          <w:rFonts w:eastAsiaTheme="minorHAnsi"/>
        </w:rPr>
        <w:t>Continue quarterly sampling until the average of four quarters of result</w:t>
      </w:r>
      <w:r>
        <w:rPr>
          <w:rFonts w:eastAsiaTheme="minorHAnsi"/>
        </w:rPr>
        <w:t>s is below the benchmark values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77"/>
        <w:gridCol w:w="2043"/>
        <w:gridCol w:w="2340"/>
        <w:gridCol w:w="3276"/>
        <w:gridCol w:w="1466"/>
      </w:tblGrid>
      <w:tr w:rsidR="00725DF9" w:rsidRPr="00AD7A3A" w:rsidTr="000050AB">
        <w:tc>
          <w:tcPr>
            <w:tcW w:w="1377" w:type="dxa"/>
            <w:tcMar>
              <w:left w:w="43" w:type="dxa"/>
            </w:tcMar>
            <w:vAlign w:val="bottom"/>
          </w:tcPr>
          <w:p w:rsidR="00725DF9" w:rsidRPr="00AD7A3A" w:rsidRDefault="00725DF9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Quarter</w:t>
            </w:r>
          </w:p>
        </w:tc>
        <w:tc>
          <w:tcPr>
            <w:tcW w:w="2043" w:type="dxa"/>
            <w:vAlign w:val="bottom"/>
          </w:tcPr>
          <w:p w:rsidR="00725DF9" w:rsidRPr="00AD7A3A" w:rsidRDefault="00725DF9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Parameters</w:t>
            </w:r>
          </w:p>
        </w:tc>
        <w:tc>
          <w:tcPr>
            <w:tcW w:w="2340" w:type="dxa"/>
            <w:vAlign w:val="bottom"/>
          </w:tcPr>
          <w:p w:rsidR="00725DF9" w:rsidRPr="00AD7A3A" w:rsidRDefault="00725DF9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Permit benchmark values</w:t>
            </w:r>
          </w:p>
        </w:tc>
        <w:tc>
          <w:tcPr>
            <w:tcW w:w="3276" w:type="dxa"/>
            <w:vAlign w:val="bottom"/>
          </w:tcPr>
          <w:p w:rsidR="00725DF9" w:rsidRPr="00AD7A3A" w:rsidRDefault="00725DF9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Results</w:t>
            </w:r>
          </w:p>
        </w:tc>
        <w:tc>
          <w:tcPr>
            <w:tcW w:w="1466" w:type="dxa"/>
            <w:vAlign w:val="bottom"/>
          </w:tcPr>
          <w:p w:rsidR="00725DF9" w:rsidRPr="00AD7A3A" w:rsidRDefault="00725DF9" w:rsidP="00340FC9">
            <w:pPr>
              <w:pStyle w:val="Form-Bodytext1"/>
              <w:spacing w:before="0"/>
            </w:pPr>
            <w:r>
              <w:rPr>
                <w:b/>
              </w:rPr>
              <w:t xml:space="preserve">Report due date </w:t>
            </w:r>
            <w:r>
              <w:t>(mm/dd/yyyy)</w:t>
            </w:r>
          </w:p>
        </w:tc>
      </w:tr>
      <w:tr w:rsidR="00725DF9" w:rsidTr="00762853">
        <w:trPr>
          <w:trHeight w:val="864"/>
        </w:trPr>
        <w:tc>
          <w:tcPr>
            <w:tcW w:w="1377" w:type="dxa"/>
            <w:tcMar>
              <w:left w:w="43" w:type="dxa"/>
            </w:tcMar>
          </w:tcPr>
          <w:p w:rsidR="00725DF9" w:rsidRDefault="00725DF9" w:rsidP="00725DF9">
            <w:pPr>
              <w:pStyle w:val="Form-Bodytext1"/>
              <w:rPr>
                <w:b/>
              </w:rPr>
            </w:pPr>
            <w:r>
              <w:rPr>
                <w:b/>
              </w:rPr>
              <w:t>5</w:t>
            </w:r>
            <w:r w:rsidRPr="00375A1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725DF9" w:rsidRPr="00375A1E" w:rsidRDefault="00725DF9" w:rsidP="00725DF9">
            <w:pPr>
              <w:pStyle w:val="Form-Bodytext1"/>
            </w:pPr>
            <w:r>
              <w:t>July 1, 2021 – Sept. 30, 2021</w:t>
            </w:r>
          </w:p>
        </w:tc>
        <w:tc>
          <w:tcPr>
            <w:tcW w:w="2043" w:type="dxa"/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" w:name="Text114"/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  <w:bookmarkEnd w:id="3"/>
          </w:p>
        </w:tc>
        <w:tc>
          <w:tcPr>
            <w:tcW w:w="2340" w:type="dxa"/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3276" w:type="dxa"/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1466" w:type="dxa"/>
          </w:tcPr>
          <w:p w:rsidR="00725DF9" w:rsidRDefault="00725DF9" w:rsidP="00725DF9">
            <w:pPr>
              <w:pStyle w:val="Form-Bodytext1"/>
            </w:pPr>
            <w:r>
              <w:t>Oct. 21, 2021</w:t>
            </w:r>
          </w:p>
        </w:tc>
      </w:tr>
      <w:tr w:rsidR="00725DF9" w:rsidTr="00762853">
        <w:trPr>
          <w:trHeight w:val="864"/>
        </w:trPr>
        <w:tc>
          <w:tcPr>
            <w:tcW w:w="1377" w:type="dxa"/>
            <w:tcMar>
              <w:left w:w="43" w:type="dxa"/>
            </w:tcMar>
          </w:tcPr>
          <w:p w:rsidR="00725DF9" w:rsidRDefault="00725DF9" w:rsidP="00725DF9">
            <w:pPr>
              <w:pStyle w:val="Form-Bodytext1"/>
              <w:rPr>
                <w:b/>
              </w:rPr>
            </w:pPr>
            <w:r>
              <w:rPr>
                <w:b/>
              </w:rPr>
              <w:t>6</w:t>
            </w:r>
            <w:r w:rsidRPr="00375A1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725DF9" w:rsidRPr="00375A1E" w:rsidRDefault="00725DF9" w:rsidP="00725DF9">
            <w:pPr>
              <w:pStyle w:val="Form-Bodytext1"/>
            </w:pPr>
            <w:r>
              <w:t>Oct. 1, 2021 – Dec. 31, 2021</w:t>
            </w:r>
          </w:p>
        </w:tc>
        <w:tc>
          <w:tcPr>
            <w:tcW w:w="2043" w:type="dxa"/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2340" w:type="dxa"/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3276" w:type="dxa"/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1466" w:type="dxa"/>
          </w:tcPr>
          <w:p w:rsidR="00725DF9" w:rsidRDefault="00725DF9" w:rsidP="00725DF9">
            <w:pPr>
              <w:pStyle w:val="Form-Bodytext1"/>
            </w:pPr>
            <w:r>
              <w:t>Jan. 21, 2022</w:t>
            </w:r>
          </w:p>
        </w:tc>
      </w:tr>
      <w:tr w:rsidR="00725DF9" w:rsidTr="00762853">
        <w:trPr>
          <w:trHeight w:val="864"/>
        </w:trPr>
        <w:tc>
          <w:tcPr>
            <w:tcW w:w="1377" w:type="dxa"/>
            <w:tcBorders>
              <w:bottom w:val="single" w:sz="2" w:space="0" w:color="auto"/>
            </w:tcBorders>
            <w:tcMar>
              <w:left w:w="43" w:type="dxa"/>
            </w:tcMar>
          </w:tcPr>
          <w:p w:rsidR="00725DF9" w:rsidRDefault="00725DF9" w:rsidP="00725DF9">
            <w:pPr>
              <w:pStyle w:val="Form-Bodytext1"/>
              <w:rPr>
                <w:b/>
              </w:rPr>
            </w:pPr>
            <w:r>
              <w:rPr>
                <w:b/>
              </w:rPr>
              <w:t>7</w:t>
            </w:r>
            <w:r w:rsidRPr="00375A1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725DF9" w:rsidRPr="00375A1E" w:rsidRDefault="00725DF9" w:rsidP="00725DF9">
            <w:pPr>
              <w:pStyle w:val="Form-Bodytext1"/>
            </w:pPr>
            <w:r w:rsidRPr="00375A1E">
              <w:t>Jan. 1, 2022 – Mar. 31, 2022</w:t>
            </w:r>
          </w:p>
        </w:tc>
        <w:tc>
          <w:tcPr>
            <w:tcW w:w="2043" w:type="dxa"/>
            <w:tcBorders>
              <w:bottom w:val="single" w:sz="2" w:space="0" w:color="auto"/>
            </w:tcBorders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3276" w:type="dxa"/>
            <w:tcBorders>
              <w:bottom w:val="single" w:sz="2" w:space="0" w:color="auto"/>
            </w:tcBorders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1466" w:type="dxa"/>
            <w:tcBorders>
              <w:bottom w:val="single" w:sz="2" w:space="0" w:color="auto"/>
            </w:tcBorders>
          </w:tcPr>
          <w:p w:rsidR="00725DF9" w:rsidRDefault="00725DF9" w:rsidP="00725DF9">
            <w:pPr>
              <w:pStyle w:val="Form-Bodytext1"/>
            </w:pPr>
            <w:r>
              <w:t>April 21, 2022</w:t>
            </w:r>
          </w:p>
        </w:tc>
      </w:tr>
      <w:tr w:rsidR="00725DF9" w:rsidTr="00762853">
        <w:trPr>
          <w:trHeight w:val="864"/>
        </w:trPr>
        <w:tc>
          <w:tcPr>
            <w:tcW w:w="1377" w:type="dxa"/>
            <w:tcBorders>
              <w:top w:val="single" w:sz="2" w:space="0" w:color="auto"/>
              <w:bottom w:val="single" w:sz="2" w:space="0" w:color="auto"/>
            </w:tcBorders>
            <w:tcMar>
              <w:left w:w="43" w:type="dxa"/>
            </w:tcMar>
          </w:tcPr>
          <w:p w:rsidR="00725DF9" w:rsidRDefault="00725DF9" w:rsidP="00725DF9">
            <w:pPr>
              <w:pStyle w:val="Form-Bodytext1"/>
              <w:rPr>
                <w:b/>
              </w:rPr>
            </w:pPr>
            <w:r>
              <w:rPr>
                <w:b/>
              </w:rPr>
              <w:t>8</w:t>
            </w:r>
            <w:r w:rsidRPr="00375A1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725DF9" w:rsidRPr="00375A1E" w:rsidRDefault="00725DF9" w:rsidP="00725DF9">
            <w:pPr>
              <w:pStyle w:val="Form-Bodytext1"/>
            </w:pPr>
            <w:r>
              <w:t>April 1, 2022 – June 30, 2022</w:t>
            </w:r>
          </w:p>
        </w:tc>
        <w:tc>
          <w:tcPr>
            <w:tcW w:w="2043" w:type="dxa"/>
            <w:tcBorders>
              <w:top w:val="single" w:sz="2" w:space="0" w:color="auto"/>
              <w:bottom w:val="single" w:sz="2" w:space="0" w:color="auto"/>
            </w:tcBorders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3276" w:type="dxa"/>
            <w:tcBorders>
              <w:top w:val="single" w:sz="2" w:space="0" w:color="auto"/>
              <w:bottom w:val="single" w:sz="2" w:space="0" w:color="auto"/>
            </w:tcBorders>
          </w:tcPr>
          <w:p w:rsidR="00725DF9" w:rsidRDefault="00725DF9" w:rsidP="00725DF9">
            <w:pPr>
              <w:spacing w:before="120"/>
            </w:pPr>
            <w:r w:rsidRPr="00F54382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F54382">
              <w:instrText xml:space="preserve"> FORMTEXT </w:instrText>
            </w:r>
            <w:r w:rsidRPr="00F54382">
              <w:fldChar w:fldCharType="separate"/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rPr>
                <w:noProof/>
              </w:rPr>
              <w:t> </w:t>
            </w:r>
            <w:r w:rsidRPr="00F54382">
              <w:fldChar w:fldCharType="end"/>
            </w:r>
          </w:p>
        </w:tc>
        <w:tc>
          <w:tcPr>
            <w:tcW w:w="1466" w:type="dxa"/>
            <w:tcBorders>
              <w:top w:val="single" w:sz="2" w:space="0" w:color="auto"/>
              <w:bottom w:val="single" w:sz="2" w:space="0" w:color="auto"/>
            </w:tcBorders>
          </w:tcPr>
          <w:p w:rsidR="00725DF9" w:rsidRDefault="00725DF9" w:rsidP="00725DF9">
            <w:pPr>
              <w:pStyle w:val="Form-Bodytext1"/>
            </w:pPr>
            <w:r>
              <w:t>July 21, 2022</w:t>
            </w:r>
          </w:p>
        </w:tc>
      </w:tr>
    </w:tbl>
    <w:p w:rsidR="00375A1E" w:rsidRPr="000050AB" w:rsidRDefault="00375A1E" w:rsidP="00340FC9">
      <w:pPr>
        <w:pStyle w:val="Form-Heading3"/>
        <w:keepNext/>
        <w:keepLines/>
        <w:spacing w:before="360" w:after="240"/>
        <w:rPr>
          <w:rFonts w:eastAsiaTheme="minorHAnsi"/>
        </w:rPr>
      </w:pPr>
      <w:r w:rsidRPr="000050AB">
        <w:rPr>
          <w:rFonts w:eastAsiaTheme="minorHAnsi"/>
        </w:rPr>
        <w:lastRenderedPageBreak/>
        <w:t>Continue quarterly sampling until the average of four quarters of results is below the benchmark values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77"/>
        <w:gridCol w:w="2043"/>
        <w:gridCol w:w="2340"/>
        <w:gridCol w:w="3276"/>
        <w:gridCol w:w="1466"/>
      </w:tblGrid>
      <w:tr w:rsidR="000050AB" w:rsidRPr="00AD7A3A" w:rsidTr="000050AB">
        <w:tc>
          <w:tcPr>
            <w:tcW w:w="1377" w:type="dxa"/>
            <w:tcMar>
              <w:left w:w="43" w:type="dxa"/>
            </w:tcMar>
            <w:vAlign w:val="bottom"/>
          </w:tcPr>
          <w:p w:rsidR="000050AB" w:rsidRPr="00AD7A3A" w:rsidRDefault="000050AB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Quarter</w:t>
            </w:r>
          </w:p>
        </w:tc>
        <w:tc>
          <w:tcPr>
            <w:tcW w:w="2043" w:type="dxa"/>
            <w:vAlign w:val="bottom"/>
          </w:tcPr>
          <w:p w:rsidR="000050AB" w:rsidRPr="00AD7A3A" w:rsidRDefault="000050AB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Parameters</w:t>
            </w:r>
          </w:p>
        </w:tc>
        <w:tc>
          <w:tcPr>
            <w:tcW w:w="2340" w:type="dxa"/>
            <w:vAlign w:val="bottom"/>
          </w:tcPr>
          <w:p w:rsidR="000050AB" w:rsidRPr="00AD7A3A" w:rsidRDefault="000050AB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Permit benchmark values</w:t>
            </w:r>
          </w:p>
        </w:tc>
        <w:tc>
          <w:tcPr>
            <w:tcW w:w="3276" w:type="dxa"/>
            <w:vAlign w:val="bottom"/>
          </w:tcPr>
          <w:p w:rsidR="000050AB" w:rsidRPr="00AD7A3A" w:rsidRDefault="000050AB" w:rsidP="00340FC9">
            <w:pPr>
              <w:pStyle w:val="Form-Bodytext1"/>
              <w:spacing w:before="0"/>
              <w:rPr>
                <w:b/>
              </w:rPr>
            </w:pPr>
            <w:r>
              <w:rPr>
                <w:b/>
              </w:rPr>
              <w:t>Results</w:t>
            </w:r>
          </w:p>
        </w:tc>
        <w:tc>
          <w:tcPr>
            <w:tcW w:w="1466" w:type="dxa"/>
            <w:vAlign w:val="bottom"/>
          </w:tcPr>
          <w:p w:rsidR="000050AB" w:rsidRPr="00AD7A3A" w:rsidRDefault="000050AB" w:rsidP="00340FC9">
            <w:pPr>
              <w:pStyle w:val="Form-Bodytext1"/>
              <w:spacing w:before="0"/>
            </w:pPr>
            <w:r>
              <w:rPr>
                <w:b/>
              </w:rPr>
              <w:t xml:space="preserve">Report due date </w:t>
            </w:r>
            <w:r>
              <w:t>(mm/dd/yyyy)</w:t>
            </w:r>
          </w:p>
        </w:tc>
      </w:tr>
      <w:tr w:rsidR="000050AB" w:rsidTr="000050AB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0050AB" w:rsidRDefault="000050AB" w:rsidP="000050AB">
            <w:pPr>
              <w:pStyle w:val="Form-Bodytext1"/>
              <w:rPr>
                <w:b/>
              </w:rPr>
            </w:pPr>
            <w:r>
              <w:rPr>
                <w:b/>
              </w:rPr>
              <w:t>9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0050AB" w:rsidRPr="00AD7A3A" w:rsidRDefault="000050AB" w:rsidP="000050AB">
            <w:pPr>
              <w:pStyle w:val="Form-Bodytext1"/>
            </w:pPr>
            <w:r>
              <w:t>July 1, 2022 – Sept. 30, 2022</w:t>
            </w:r>
          </w:p>
        </w:tc>
        <w:tc>
          <w:tcPr>
            <w:tcW w:w="2043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0050AB" w:rsidRDefault="000050AB" w:rsidP="000050AB">
            <w:pPr>
              <w:pStyle w:val="Form-Bodytext1"/>
            </w:pPr>
            <w:r>
              <w:t>Oct. 21, 2022</w:t>
            </w:r>
          </w:p>
        </w:tc>
      </w:tr>
      <w:tr w:rsidR="000050AB" w:rsidTr="000050AB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0050AB" w:rsidRDefault="000050AB" w:rsidP="000050AB">
            <w:pPr>
              <w:pStyle w:val="Form-Bodytext1"/>
              <w:rPr>
                <w:b/>
              </w:rPr>
            </w:pPr>
            <w:r>
              <w:rPr>
                <w:b/>
              </w:rPr>
              <w:t>10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0050AB" w:rsidRPr="00AD7A3A" w:rsidRDefault="000050AB" w:rsidP="000050AB">
            <w:pPr>
              <w:pStyle w:val="Form-Bodytext1"/>
            </w:pPr>
            <w:r>
              <w:t>Oct. 1, 2022 – Dec. 31, 2022</w:t>
            </w:r>
          </w:p>
        </w:tc>
        <w:tc>
          <w:tcPr>
            <w:tcW w:w="2043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0050AB" w:rsidRDefault="000050AB" w:rsidP="000050AB">
            <w:pPr>
              <w:pStyle w:val="Form-Bodytext1"/>
            </w:pPr>
            <w:r>
              <w:t>Jan. 21, 2023</w:t>
            </w:r>
          </w:p>
        </w:tc>
      </w:tr>
      <w:tr w:rsidR="000050AB" w:rsidTr="000050AB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0050AB" w:rsidRPr="00AD7A3A" w:rsidRDefault="000050AB" w:rsidP="000050AB">
            <w:pPr>
              <w:pStyle w:val="Form-Bodytext1"/>
              <w:rPr>
                <w:b/>
              </w:rPr>
            </w:pPr>
            <w:r>
              <w:rPr>
                <w:b/>
              </w:rPr>
              <w:t>11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0050AB" w:rsidRPr="00AD7A3A" w:rsidRDefault="000050AB" w:rsidP="000050AB">
            <w:pPr>
              <w:pStyle w:val="Form-Bodytext1"/>
            </w:pPr>
            <w:r>
              <w:t>Jan. 1, 2023 – Mar. 31, 2023</w:t>
            </w:r>
          </w:p>
        </w:tc>
        <w:tc>
          <w:tcPr>
            <w:tcW w:w="2043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0050AB" w:rsidRDefault="000050AB" w:rsidP="000050AB">
            <w:pPr>
              <w:pStyle w:val="Form-Bodytext1"/>
            </w:pPr>
            <w:r>
              <w:t>April 21, 2023</w:t>
            </w:r>
          </w:p>
        </w:tc>
      </w:tr>
      <w:tr w:rsidR="000050AB" w:rsidTr="000050AB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0050AB" w:rsidRDefault="000050AB" w:rsidP="000050AB">
            <w:pPr>
              <w:pStyle w:val="Form-Bodytext1"/>
              <w:rPr>
                <w:b/>
              </w:rPr>
            </w:pPr>
            <w:r>
              <w:rPr>
                <w:b/>
              </w:rPr>
              <w:t>12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0050AB" w:rsidRPr="00375A1E" w:rsidRDefault="000050AB" w:rsidP="000050AB">
            <w:pPr>
              <w:pStyle w:val="Form-Bodytext1"/>
            </w:pPr>
            <w:r>
              <w:t>April 1, 2023 – June 30, 2023</w:t>
            </w:r>
          </w:p>
        </w:tc>
        <w:tc>
          <w:tcPr>
            <w:tcW w:w="2043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0050AB" w:rsidRDefault="000050AB" w:rsidP="000050AB">
            <w:pPr>
              <w:pStyle w:val="Form-Bodytext1"/>
            </w:pPr>
            <w:r>
              <w:t>July 21, 2023</w:t>
            </w:r>
          </w:p>
        </w:tc>
      </w:tr>
      <w:tr w:rsidR="000050AB" w:rsidTr="000050AB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0050AB" w:rsidRDefault="000050AB" w:rsidP="000050AB">
            <w:pPr>
              <w:pStyle w:val="Form-Bodytext1"/>
              <w:rPr>
                <w:b/>
              </w:rPr>
            </w:pPr>
            <w:r>
              <w:rPr>
                <w:b/>
              </w:rPr>
              <w:t>13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0050AB" w:rsidRPr="00AD7A3A" w:rsidRDefault="000050AB" w:rsidP="000050AB">
            <w:pPr>
              <w:pStyle w:val="Form-Bodytext1"/>
            </w:pPr>
            <w:r>
              <w:t>July 1, 2023 – Sept. 30, 2023</w:t>
            </w:r>
          </w:p>
        </w:tc>
        <w:tc>
          <w:tcPr>
            <w:tcW w:w="2043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0050AB" w:rsidRDefault="00762853" w:rsidP="000050AB">
            <w:pPr>
              <w:pStyle w:val="Form-Bodytext1"/>
            </w:pPr>
            <w:r>
              <w:t>Oct. 21, 2023</w:t>
            </w:r>
          </w:p>
        </w:tc>
      </w:tr>
      <w:tr w:rsidR="000050AB" w:rsidTr="000050AB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0050AB" w:rsidRDefault="000050AB" w:rsidP="000050AB">
            <w:pPr>
              <w:pStyle w:val="Form-Bodytext1"/>
              <w:rPr>
                <w:b/>
              </w:rPr>
            </w:pPr>
            <w:r>
              <w:rPr>
                <w:b/>
              </w:rPr>
              <w:t>14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0050AB" w:rsidRPr="00AD7A3A" w:rsidRDefault="000050AB" w:rsidP="000050AB">
            <w:pPr>
              <w:pStyle w:val="Form-Bodytext1"/>
            </w:pPr>
            <w:r>
              <w:t>Oct. 1, 2023 – Dec. 31, 2023</w:t>
            </w:r>
          </w:p>
        </w:tc>
        <w:tc>
          <w:tcPr>
            <w:tcW w:w="2043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0050AB" w:rsidRDefault="000050AB" w:rsidP="000050AB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0050AB" w:rsidRDefault="00762853" w:rsidP="000050AB">
            <w:pPr>
              <w:pStyle w:val="Form-Bodytext1"/>
            </w:pPr>
            <w:r>
              <w:t>Jan. 21, 2024</w:t>
            </w:r>
          </w:p>
        </w:tc>
      </w:tr>
      <w:tr w:rsidR="000050AB" w:rsidTr="004A17D5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0050AB" w:rsidRPr="00AD7A3A" w:rsidRDefault="000050AB" w:rsidP="004A17D5">
            <w:pPr>
              <w:pStyle w:val="Form-Bodytext1"/>
              <w:rPr>
                <w:b/>
              </w:rPr>
            </w:pPr>
            <w:r>
              <w:rPr>
                <w:b/>
              </w:rPr>
              <w:t>15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0050AB" w:rsidRPr="00AD7A3A" w:rsidRDefault="000050AB" w:rsidP="000050AB">
            <w:pPr>
              <w:pStyle w:val="Form-Bodytext1"/>
            </w:pPr>
            <w:r>
              <w:t>Jan. 1, 2024 – Mar. 31, 2024</w:t>
            </w:r>
          </w:p>
        </w:tc>
        <w:tc>
          <w:tcPr>
            <w:tcW w:w="2043" w:type="dxa"/>
          </w:tcPr>
          <w:p w:rsidR="000050AB" w:rsidRDefault="000050AB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0050AB" w:rsidRDefault="000050AB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0050AB" w:rsidRDefault="000050AB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0050AB" w:rsidRDefault="000050AB" w:rsidP="004A17D5">
            <w:pPr>
              <w:pStyle w:val="Form-Bodytext1"/>
            </w:pPr>
            <w:r>
              <w:t>April 21, 202</w:t>
            </w:r>
            <w:r w:rsidR="00762853">
              <w:t>4</w:t>
            </w:r>
          </w:p>
        </w:tc>
      </w:tr>
      <w:tr w:rsidR="000050AB" w:rsidTr="004A17D5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0050AB" w:rsidRDefault="000050AB" w:rsidP="004A17D5">
            <w:pPr>
              <w:pStyle w:val="Form-Bodytext1"/>
              <w:rPr>
                <w:b/>
              </w:rPr>
            </w:pPr>
            <w:r>
              <w:rPr>
                <w:b/>
              </w:rPr>
              <w:t>16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0050AB" w:rsidRPr="00375A1E" w:rsidRDefault="000050AB" w:rsidP="000050AB">
            <w:pPr>
              <w:pStyle w:val="Form-Bodytext1"/>
            </w:pPr>
            <w:r>
              <w:t>April 1, 2024 – June 30, 2024</w:t>
            </w:r>
          </w:p>
        </w:tc>
        <w:tc>
          <w:tcPr>
            <w:tcW w:w="2043" w:type="dxa"/>
          </w:tcPr>
          <w:p w:rsidR="000050AB" w:rsidRDefault="000050AB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0050AB" w:rsidRDefault="000050AB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0050AB" w:rsidRDefault="000050AB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0050AB" w:rsidRDefault="000050AB" w:rsidP="004A17D5">
            <w:pPr>
              <w:pStyle w:val="Form-Bodytext1"/>
            </w:pPr>
            <w:r>
              <w:t>July 21, 202</w:t>
            </w:r>
            <w:r w:rsidR="00762853">
              <w:t>4</w:t>
            </w:r>
          </w:p>
        </w:tc>
      </w:tr>
      <w:tr w:rsidR="00762853" w:rsidTr="004A17D5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762853" w:rsidRPr="00AD7A3A" w:rsidRDefault="00762853" w:rsidP="004A17D5">
            <w:pPr>
              <w:pStyle w:val="Form-Bodytext1"/>
              <w:rPr>
                <w:b/>
              </w:rPr>
            </w:pPr>
            <w:r>
              <w:rPr>
                <w:b/>
              </w:rPr>
              <w:t>17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762853" w:rsidRPr="00AD7A3A" w:rsidRDefault="00762853" w:rsidP="00762853">
            <w:pPr>
              <w:pStyle w:val="Form-Bodytext1"/>
            </w:pPr>
            <w:r>
              <w:t>July 1, 2024 – Sept. 30, 2024</w:t>
            </w:r>
          </w:p>
        </w:tc>
        <w:tc>
          <w:tcPr>
            <w:tcW w:w="2043" w:type="dxa"/>
          </w:tcPr>
          <w:p w:rsidR="00762853" w:rsidRDefault="00762853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762853" w:rsidRDefault="00762853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762853" w:rsidRDefault="00762853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762853" w:rsidRDefault="00762853" w:rsidP="004A17D5">
            <w:pPr>
              <w:pStyle w:val="Form-Bodytext1"/>
            </w:pPr>
            <w:r>
              <w:t>Oct. 21, 2024</w:t>
            </w:r>
          </w:p>
        </w:tc>
      </w:tr>
      <w:tr w:rsidR="00762853" w:rsidTr="004A17D5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762853" w:rsidRDefault="00762853" w:rsidP="004A17D5">
            <w:pPr>
              <w:pStyle w:val="Form-Bodytext1"/>
              <w:rPr>
                <w:b/>
              </w:rPr>
            </w:pPr>
            <w:r>
              <w:rPr>
                <w:b/>
              </w:rPr>
              <w:t>18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762853" w:rsidRPr="00375A1E" w:rsidRDefault="00762853" w:rsidP="00762853">
            <w:pPr>
              <w:pStyle w:val="Form-Bodytext1"/>
            </w:pPr>
            <w:r>
              <w:t>Oct. 1, 2024 – Dec. 31, 2024</w:t>
            </w:r>
          </w:p>
        </w:tc>
        <w:tc>
          <w:tcPr>
            <w:tcW w:w="2043" w:type="dxa"/>
          </w:tcPr>
          <w:p w:rsidR="00762853" w:rsidRDefault="00762853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762853" w:rsidRDefault="00762853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762853" w:rsidRDefault="00762853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762853" w:rsidRDefault="00762853" w:rsidP="004A17D5">
            <w:pPr>
              <w:pStyle w:val="Form-Bodytext1"/>
            </w:pPr>
            <w:r>
              <w:t>Jan. 21, 2025</w:t>
            </w:r>
          </w:p>
        </w:tc>
      </w:tr>
      <w:tr w:rsidR="00762853" w:rsidTr="004A17D5">
        <w:trPr>
          <w:trHeight w:val="936"/>
        </w:trPr>
        <w:tc>
          <w:tcPr>
            <w:tcW w:w="1377" w:type="dxa"/>
            <w:tcMar>
              <w:left w:w="43" w:type="dxa"/>
            </w:tcMar>
          </w:tcPr>
          <w:p w:rsidR="00762853" w:rsidRDefault="00762853" w:rsidP="004A17D5">
            <w:pPr>
              <w:pStyle w:val="Form-Bodytext1"/>
              <w:rPr>
                <w:b/>
              </w:rPr>
            </w:pPr>
            <w:r>
              <w:rPr>
                <w:b/>
              </w:rPr>
              <w:t>19</w:t>
            </w:r>
            <w:r w:rsidRPr="000050A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Quarter</w:t>
            </w:r>
          </w:p>
          <w:p w:rsidR="00762853" w:rsidRPr="00375A1E" w:rsidRDefault="00762853" w:rsidP="00762853">
            <w:pPr>
              <w:pStyle w:val="Form-Bodytext1"/>
            </w:pPr>
            <w:r>
              <w:t>Jan. 1, 2025 – Mar. 31, 2025</w:t>
            </w:r>
          </w:p>
        </w:tc>
        <w:tc>
          <w:tcPr>
            <w:tcW w:w="2043" w:type="dxa"/>
          </w:tcPr>
          <w:p w:rsidR="00762853" w:rsidRDefault="00762853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2340" w:type="dxa"/>
          </w:tcPr>
          <w:p w:rsidR="00762853" w:rsidRDefault="00762853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3276" w:type="dxa"/>
          </w:tcPr>
          <w:p w:rsidR="00762853" w:rsidRDefault="00762853" w:rsidP="004A17D5">
            <w:pPr>
              <w:spacing w:before="120"/>
            </w:pPr>
            <w:r w:rsidRPr="00C478D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478DB">
              <w:instrText xml:space="preserve"> FORMTEXT </w:instrText>
            </w:r>
            <w:r w:rsidRPr="00C478DB">
              <w:fldChar w:fldCharType="separate"/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rPr>
                <w:noProof/>
              </w:rPr>
              <w:t> </w:t>
            </w:r>
            <w:r w:rsidRPr="00C478DB">
              <w:fldChar w:fldCharType="end"/>
            </w:r>
          </w:p>
        </w:tc>
        <w:tc>
          <w:tcPr>
            <w:tcW w:w="1466" w:type="dxa"/>
          </w:tcPr>
          <w:p w:rsidR="00762853" w:rsidRDefault="00762853" w:rsidP="00762853">
            <w:pPr>
              <w:pStyle w:val="Form-Bodytext1"/>
            </w:pPr>
            <w:r>
              <w:t>April 21, 2025</w:t>
            </w:r>
          </w:p>
        </w:tc>
      </w:tr>
    </w:tbl>
    <w:p w:rsidR="008303E2" w:rsidRPr="00E0715F" w:rsidRDefault="008303E2" w:rsidP="0011088E">
      <w:pPr>
        <w:pStyle w:val="Heading2"/>
        <w:keepNext w:val="0"/>
        <w:widowControl w:val="0"/>
        <w:spacing w:before="0"/>
        <w:rPr>
          <w:sz w:val="4"/>
          <w:szCs w:val="4"/>
        </w:rPr>
      </w:pPr>
    </w:p>
    <w:sectPr w:rsidR="008303E2" w:rsidRPr="00E0715F" w:rsidSect="005517CB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2D" w:rsidRDefault="007E182D" w:rsidP="00276BFD">
      <w:r>
        <w:separator/>
      </w:r>
    </w:p>
  </w:endnote>
  <w:endnote w:type="continuationSeparator" w:id="0">
    <w:p w:rsidR="007E182D" w:rsidRDefault="007E182D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0AB" w:rsidRPr="00D53867" w:rsidRDefault="000050AB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0050AB" w:rsidRPr="003D65E7" w:rsidRDefault="000050AB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:rsidR="000050AB" w:rsidRPr="003D65E7" w:rsidRDefault="000050AB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wq-strm3-69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4/1/20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3C1C0F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3C1C0F">
      <w:rPr>
        <w:rStyle w:val="PageNumber"/>
        <w:rFonts w:ascii="Calibri" w:hAnsi="Calibri"/>
        <w:i/>
        <w:noProof/>
        <w:sz w:val="16"/>
        <w:szCs w:val="16"/>
      </w:rPr>
      <w:t>2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2D" w:rsidRDefault="007E182D" w:rsidP="00276BFD">
      <w:r>
        <w:separator/>
      </w:r>
    </w:p>
  </w:footnote>
  <w:footnote w:type="continuationSeparator" w:id="0">
    <w:p w:rsidR="007E182D" w:rsidRDefault="007E182D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8"/>
  </w:num>
  <w:num w:numId="5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7ABe3nL93uXfPNu8PLMJ3jAmmYQQkMN8xnnPjDnyEB+fK2G9BMXchpI9/qtniMJoGsBDC8K8+bXDwzIB9Q/AQ==" w:salt="jE31u4mn/2Y8YJGYSDQXWg=="/>
  <w:styleLockTheme/>
  <w:styleLockQFSet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9E"/>
    <w:rsid w:val="000050AB"/>
    <w:rsid w:val="0000782F"/>
    <w:rsid w:val="000136A4"/>
    <w:rsid w:val="000233B6"/>
    <w:rsid w:val="000752DA"/>
    <w:rsid w:val="000A60CC"/>
    <w:rsid w:val="000E63C4"/>
    <w:rsid w:val="0010489B"/>
    <w:rsid w:val="0011088E"/>
    <w:rsid w:val="00151647"/>
    <w:rsid w:val="001534D6"/>
    <w:rsid w:val="00165736"/>
    <w:rsid w:val="00176EA1"/>
    <w:rsid w:val="001A0E3E"/>
    <w:rsid w:val="001F5350"/>
    <w:rsid w:val="00202F5E"/>
    <w:rsid w:val="002158CA"/>
    <w:rsid w:val="00274A83"/>
    <w:rsid w:val="00276BFD"/>
    <w:rsid w:val="00292728"/>
    <w:rsid w:val="002A555F"/>
    <w:rsid w:val="002B2B95"/>
    <w:rsid w:val="002C5280"/>
    <w:rsid w:val="002D6A1E"/>
    <w:rsid w:val="002F29B0"/>
    <w:rsid w:val="00315202"/>
    <w:rsid w:val="003178C5"/>
    <w:rsid w:val="00321182"/>
    <w:rsid w:val="00321966"/>
    <w:rsid w:val="00340FC9"/>
    <w:rsid w:val="00370447"/>
    <w:rsid w:val="00375A1E"/>
    <w:rsid w:val="003C1C0F"/>
    <w:rsid w:val="003C43F2"/>
    <w:rsid w:val="003D65E7"/>
    <w:rsid w:val="003E1EC1"/>
    <w:rsid w:val="003E3FC1"/>
    <w:rsid w:val="003E75DA"/>
    <w:rsid w:val="00404898"/>
    <w:rsid w:val="0042650D"/>
    <w:rsid w:val="00455D70"/>
    <w:rsid w:val="00462F79"/>
    <w:rsid w:val="00463548"/>
    <w:rsid w:val="004A6D28"/>
    <w:rsid w:val="004C1DFE"/>
    <w:rsid w:val="004F3D41"/>
    <w:rsid w:val="00503D44"/>
    <w:rsid w:val="0050447E"/>
    <w:rsid w:val="00507512"/>
    <w:rsid w:val="00516110"/>
    <w:rsid w:val="00533467"/>
    <w:rsid w:val="005471FB"/>
    <w:rsid w:val="005517CB"/>
    <w:rsid w:val="0058714B"/>
    <w:rsid w:val="005A1BC6"/>
    <w:rsid w:val="005C6B1D"/>
    <w:rsid w:val="00611633"/>
    <w:rsid w:val="0064522D"/>
    <w:rsid w:val="00672CC5"/>
    <w:rsid w:val="006B289C"/>
    <w:rsid w:val="006C4082"/>
    <w:rsid w:val="006D0B11"/>
    <w:rsid w:val="006E439E"/>
    <w:rsid w:val="006F1DBA"/>
    <w:rsid w:val="00712ECC"/>
    <w:rsid w:val="00721B14"/>
    <w:rsid w:val="00722B71"/>
    <w:rsid w:val="00725DF9"/>
    <w:rsid w:val="00762853"/>
    <w:rsid w:val="0077248A"/>
    <w:rsid w:val="007C0065"/>
    <w:rsid w:val="007C389A"/>
    <w:rsid w:val="007E182D"/>
    <w:rsid w:val="007E1863"/>
    <w:rsid w:val="00820C3A"/>
    <w:rsid w:val="008303E2"/>
    <w:rsid w:val="008A2387"/>
    <w:rsid w:val="008C195B"/>
    <w:rsid w:val="008C2C87"/>
    <w:rsid w:val="008E3766"/>
    <w:rsid w:val="008F2D62"/>
    <w:rsid w:val="008F335D"/>
    <w:rsid w:val="009637B7"/>
    <w:rsid w:val="009B7BCC"/>
    <w:rsid w:val="009C40A6"/>
    <w:rsid w:val="009D0CED"/>
    <w:rsid w:val="00A24DA8"/>
    <w:rsid w:val="00A4065F"/>
    <w:rsid w:val="00A83853"/>
    <w:rsid w:val="00AD7A3A"/>
    <w:rsid w:val="00AE6F7C"/>
    <w:rsid w:val="00B000B0"/>
    <w:rsid w:val="00B1066E"/>
    <w:rsid w:val="00B146C2"/>
    <w:rsid w:val="00B24143"/>
    <w:rsid w:val="00B54CB1"/>
    <w:rsid w:val="00B859F0"/>
    <w:rsid w:val="00B953D6"/>
    <w:rsid w:val="00BB4AE8"/>
    <w:rsid w:val="00BD5633"/>
    <w:rsid w:val="00BE5C1A"/>
    <w:rsid w:val="00C06217"/>
    <w:rsid w:val="00C20ABF"/>
    <w:rsid w:val="00C21ACF"/>
    <w:rsid w:val="00C35B33"/>
    <w:rsid w:val="00C44F64"/>
    <w:rsid w:val="00C4799C"/>
    <w:rsid w:val="00C528B8"/>
    <w:rsid w:val="00C53F36"/>
    <w:rsid w:val="00C80170"/>
    <w:rsid w:val="00C86512"/>
    <w:rsid w:val="00CB10FD"/>
    <w:rsid w:val="00CB3002"/>
    <w:rsid w:val="00CF2860"/>
    <w:rsid w:val="00D1155A"/>
    <w:rsid w:val="00D46981"/>
    <w:rsid w:val="00D53867"/>
    <w:rsid w:val="00D77602"/>
    <w:rsid w:val="00DB2DD3"/>
    <w:rsid w:val="00DD6B22"/>
    <w:rsid w:val="00E234B8"/>
    <w:rsid w:val="00E2747A"/>
    <w:rsid w:val="00E32BFE"/>
    <w:rsid w:val="00E34E5E"/>
    <w:rsid w:val="00E66E3D"/>
    <w:rsid w:val="00E81B26"/>
    <w:rsid w:val="00EA40E5"/>
    <w:rsid w:val="00EA4DCB"/>
    <w:rsid w:val="00EB2BD8"/>
    <w:rsid w:val="00EE314E"/>
    <w:rsid w:val="00F00755"/>
    <w:rsid w:val="00F2691D"/>
    <w:rsid w:val="00F710DA"/>
    <w:rsid w:val="00F86D42"/>
    <w:rsid w:val="00FC3C62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table" w:styleId="TableGrid">
    <w:name w:val="Table Grid"/>
    <w:basedOn w:val="TableNormal"/>
    <w:uiPriority w:val="59"/>
    <w:rsid w:val="00AD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75A1E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A1E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2020-2025 Industrial stormwater sampling worksheet</vt:lpstr>
    </vt:vector>
  </TitlesOfParts>
  <Manager/>
  <Company>PCA</Company>
  <LinksUpToDate>false</LinksUpToDate>
  <CharactersWithSpaces>3330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2020-2025 Industrial stormwater sampling worksheet</dc:title>
  <dc:subject>This form used by Permittees as a worksheet for industrial stormwater sampling.</dc:subject>
  <dc:creator>Minnesota Pollution Control Agency - Samantha Adams (Gail Skowronek)</dc:creator>
  <cp:keywords>Minnesota Pollution Control Agency,wq-strm3-69,water quality,stormwater,industrial,sampling,worksheet,</cp:keywords>
  <dc:description>*</dc:description>
  <cp:lastModifiedBy>Skowronek, Gail (MPCA)</cp:lastModifiedBy>
  <cp:revision>4</cp:revision>
  <cp:lastPrinted>2018-04-17T12:39:00Z</cp:lastPrinted>
  <dcterms:created xsi:type="dcterms:W3CDTF">2020-04-01T19:21:00Z</dcterms:created>
  <dcterms:modified xsi:type="dcterms:W3CDTF">2020-04-01T20:22:00Z</dcterms:modified>
  <cp:category>water quality,stormwater</cp:category>
</cp:coreProperties>
</file>