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6FF72A24" w14:textId="77777777">
        <w:trPr>
          <w:cantSplit/>
          <w:trHeight w:val="1350"/>
        </w:trPr>
        <w:tc>
          <w:tcPr>
            <w:tcW w:w="3978" w:type="dxa"/>
          </w:tcPr>
          <w:p w14:paraId="2210AF43" w14:textId="77777777" w:rsidR="008303E2" w:rsidRDefault="0064522D" w:rsidP="002C5280">
            <w:pPr>
              <w:widowControl w:val="0"/>
              <w:spacing w:before="120"/>
            </w:pPr>
            <w:r>
              <w:rPr>
                <w:noProof/>
              </w:rPr>
              <w:drawing>
                <wp:inline distT="0" distB="0" distL="0" distR="0" wp14:anchorId="3988EE24" wp14:editId="5524A88E">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7520742E" w14:textId="74B2E32E" w:rsidR="008303E2" w:rsidRPr="00CF2860" w:rsidRDefault="001B75E6" w:rsidP="0077248A">
            <w:pPr>
              <w:pStyle w:val="Form-Title1"/>
              <w:spacing w:before="0"/>
              <w:rPr>
                <w:szCs w:val="40"/>
              </w:rPr>
            </w:pPr>
            <w:r>
              <w:rPr>
                <w:szCs w:val="40"/>
              </w:rPr>
              <w:t>OR</w:t>
            </w:r>
            <w:r w:rsidR="004B054E">
              <w:rPr>
                <w:szCs w:val="40"/>
              </w:rPr>
              <w:t>-0</w:t>
            </w:r>
            <w:r w:rsidR="00E11AE7">
              <w:rPr>
                <w:szCs w:val="40"/>
              </w:rPr>
              <w:t>1</w:t>
            </w:r>
          </w:p>
          <w:p w14:paraId="7915F68D" w14:textId="0038747A" w:rsidR="008303E2" w:rsidRDefault="001B75E6" w:rsidP="00712ECC">
            <w:pPr>
              <w:pStyle w:val="Form-Title2"/>
            </w:pPr>
            <w:r>
              <w:t xml:space="preserve">Conditional </w:t>
            </w:r>
            <w:r w:rsidR="00B22AA1">
              <w:t xml:space="preserve">ambient </w:t>
            </w:r>
            <w:r>
              <w:t>monitoring off-ramp request</w:t>
            </w:r>
          </w:p>
          <w:p w14:paraId="5AA08A83" w14:textId="090A154E" w:rsidR="008303E2" w:rsidRDefault="004B054E" w:rsidP="00C06217">
            <w:pPr>
              <w:pStyle w:val="Form-Title3"/>
              <w:spacing w:before="20"/>
            </w:pPr>
            <w:r>
              <w:t>Air Quality Permit Program</w:t>
            </w:r>
          </w:p>
          <w:p w14:paraId="5BEEB734" w14:textId="77777777" w:rsidR="005517CB" w:rsidRPr="005517CB" w:rsidRDefault="005517CB" w:rsidP="004B054E">
            <w:pPr>
              <w:pStyle w:val="Form-Title4"/>
            </w:pPr>
            <w:r>
              <w:t xml:space="preserve">Doc Type: </w:t>
            </w:r>
            <w:r w:rsidR="004B054E">
              <w:t>Permit Application</w:t>
            </w:r>
          </w:p>
        </w:tc>
      </w:tr>
    </w:tbl>
    <w:p w14:paraId="0D7D29A4" w14:textId="58F3B813" w:rsidR="001552C9" w:rsidRPr="002C015E" w:rsidRDefault="00AE6F7C" w:rsidP="00DB4FA1">
      <w:pPr>
        <w:pStyle w:val="Form-Bodytext1"/>
        <w:spacing w:before="360"/>
        <w:rPr>
          <w:b/>
          <w:bCs w:val="0"/>
        </w:rPr>
      </w:pPr>
      <w:r w:rsidRPr="004A6D28">
        <w:rPr>
          <w:rStyle w:val="Form-Bodytext2Char"/>
        </w:rPr>
        <w:t>Instructions:</w:t>
      </w:r>
      <w:r>
        <w:rPr>
          <w:b/>
        </w:rPr>
        <w:t xml:space="preserve">  </w:t>
      </w:r>
      <w:r w:rsidR="004B054E" w:rsidRPr="002C015E">
        <w:t xml:space="preserve">This form is </w:t>
      </w:r>
      <w:r w:rsidR="001552C9" w:rsidRPr="002C015E">
        <w:t>intended for Permittees currently subject to ambient air monitoring permit requirements for the pollutants listed in Table B</w:t>
      </w:r>
      <w:r w:rsidR="004B054E" w:rsidRPr="002C015E">
        <w:t xml:space="preserve">. </w:t>
      </w:r>
      <w:r w:rsidR="001E5E99">
        <w:t>This form must be submitted as</w:t>
      </w:r>
      <w:r w:rsidR="004B054E" w:rsidRPr="002C015E">
        <w:t xml:space="preserve"> </w:t>
      </w:r>
      <w:r w:rsidR="001E5E99">
        <w:t>a</w:t>
      </w:r>
      <w:r w:rsidR="004B054E" w:rsidRPr="002C015E">
        <w:t xml:space="preserve"> </w:t>
      </w:r>
      <w:r w:rsidR="001552C9" w:rsidRPr="002C015E">
        <w:t>major amendment</w:t>
      </w:r>
      <w:r w:rsidR="005870A0" w:rsidRPr="002C015E">
        <w:t xml:space="preserve">. </w:t>
      </w:r>
      <w:r w:rsidR="004B054E" w:rsidRPr="002C015E">
        <w:rPr>
          <w:b/>
          <w:bCs w:val="0"/>
        </w:rPr>
        <w:t>Forms that are submitted without an authorized signature and attachments will be returned.</w:t>
      </w:r>
      <w:r w:rsidR="001552C9" w:rsidRPr="002C015E">
        <w:rPr>
          <w:b/>
          <w:bCs w:val="0"/>
        </w:rPr>
        <w:t xml:space="preserve"> </w:t>
      </w:r>
    </w:p>
    <w:p w14:paraId="7F7B2D20" w14:textId="4A728C50" w:rsidR="001552C9" w:rsidRPr="002C015E" w:rsidRDefault="001552C9" w:rsidP="002C015E">
      <w:pPr>
        <w:pStyle w:val="Form-Bodytext1"/>
      </w:pPr>
      <w:r w:rsidRPr="002C015E">
        <w:t xml:space="preserve">If the Permittee wishes to use modeling to demonstrate compliance with ambient air standards in lieu of monitoring, please visit </w:t>
      </w:r>
      <w:hyperlink r:id="rId9" w:history="1">
        <w:r w:rsidRPr="00342B17">
          <w:rPr>
            <w:rStyle w:val="Hyperlink"/>
          </w:rPr>
          <w:t>https://www.pca.state.mn.us/business-with-us/air-quality-modeling</w:t>
        </w:r>
      </w:hyperlink>
      <w:r w:rsidRPr="002C015E">
        <w:t xml:space="preserve"> for instructions on how to prepare and submit an air modeling protocol. </w:t>
      </w:r>
    </w:p>
    <w:p w14:paraId="3E6EC174" w14:textId="55C45C9D" w:rsidR="00C65482" w:rsidRDefault="002C015E" w:rsidP="0078418B">
      <w:pPr>
        <w:pStyle w:val="Form-Bodytext1"/>
        <w:spacing w:after="240"/>
      </w:pPr>
      <w:r w:rsidRPr="002C015E">
        <w:t xml:space="preserve">Please review the instructions of this form and answer the following questions to assist the </w:t>
      </w:r>
      <w:r w:rsidR="00961236">
        <w:t>Minnesota Pollution Control Agency (</w:t>
      </w:r>
      <w:r w:rsidRPr="002C015E">
        <w:t>MPCA</w:t>
      </w:r>
      <w:r w:rsidR="00961236">
        <w:t>)</w:t>
      </w:r>
      <w:r w:rsidRPr="002C015E">
        <w:t xml:space="preserve"> in determining if you meet the eligibility criteria and qualify for a conditional monitoring off-ramp.</w:t>
      </w:r>
    </w:p>
    <w:tbl>
      <w:tblPr>
        <w:tblStyle w:val="TableGrid"/>
        <w:tblW w:w="10714" w:type="dxa"/>
        <w:tblInd w:w="-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10714"/>
      </w:tblGrid>
      <w:tr w:rsidR="00261E4D" w:rsidRPr="007110CE" w14:paraId="6456F6B7" w14:textId="77777777" w:rsidTr="0099017A">
        <w:trPr>
          <w:trHeight w:val="1008"/>
        </w:trPr>
        <w:tc>
          <w:tcPr>
            <w:tcW w:w="10714" w:type="dxa"/>
          </w:tcPr>
          <w:p w14:paraId="743FDE84" w14:textId="51486E74" w:rsidR="00530BE0" w:rsidRDefault="00747FBC" w:rsidP="00DB4FA1">
            <w:pPr>
              <w:pStyle w:val="Form-Heading1"/>
              <w:spacing w:before="0" w:after="0"/>
              <w:ind w:left="0" w:firstLine="0"/>
            </w:pPr>
            <w:r>
              <w:t>Eligibility Criteria Questions</w:t>
            </w:r>
          </w:p>
          <w:p w14:paraId="473DB60F" w14:textId="2A3C1678" w:rsidR="00E3050F" w:rsidRPr="00E3050F" w:rsidRDefault="00E3050F" w:rsidP="00DB4FA1">
            <w:pPr>
              <w:pStyle w:val="Form-Bodytext1"/>
              <w:numPr>
                <w:ilvl w:val="0"/>
                <w:numId w:val="16"/>
              </w:numPr>
              <w:ind w:left="360"/>
            </w:pPr>
            <w:r w:rsidRPr="00E3050F">
              <w:t>Was the monitoring conducted in accordance with an approved monitoring plan? Any data collected before a monitor plan is approved will not be analyzed for off-ramping purposes</w:t>
            </w:r>
            <w:r>
              <w:t>.</w:t>
            </w:r>
          </w:p>
          <w:p w14:paraId="581E4435" w14:textId="010988AC" w:rsidR="00E3050F" w:rsidRDefault="00261E4D" w:rsidP="00D5516A">
            <w:pPr>
              <w:pStyle w:val="Form-Bodytext1"/>
              <w:spacing w:before="60"/>
              <w:ind w:left="720" w:hanging="360"/>
            </w:pPr>
            <w:r w:rsidRPr="007110CE">
              <w:fldChar w:fldCharType="begin">
                <w:ffData>
                  <w:name w:val="Check1"/>
                  <w:enabled/>
                  <w:calcOnExit w:val="0"/>
                  <w:checkBox>
                    <w:sizeAuto/>
                    <w:default w:val="0"/>
                    <w:checked w:val="0"/>
                  </w:checkBox>
                </w:ffData>
              </w:fldChar>
            </w:r>
            <w:r w:rsidRPr="007110CE">
              <w:instrText xml:space="preserve"> FORMCHECKBOX </w:instrText>
            </w:r>
            <w:r w:rsidR="005B6E3F">
              <w:fldChar w:fldCharType="separate"/>
            </w:r>
            <w:r w:rsidRPr="007110CE">
              <w:fldChar w:fldCharType="end"/>
            </w:r>
            <w:r w:rsidRPr="007110CE">
              <w:t xml:space="preserve"> Yes</w:t>
            </w:r>
            <w:r w:rsidR="00530BE0">
              <w:t>.</w:t>
            </w:r>
          </w:p>
          <w:p w14:paraId="15B1E2D0" w14:textId="6A79CD61" w:rsidR="00E3050F" w:rsidRPr="007110CE" w:rsidRDefault="00261E4D" w:rsidP="00D5516A">
            <w:pPr>
              <w:pStyle w:val="Form-Bodytext1"/>
              <w:spacing w:before="60"/>
              <w:ind w:left="720" w:hanging="360"/>
            </w:pPr>
            <w:r w:rsidRPr="007110CE">
              <w:fldChar w:fldCharType="begin">
                <w:ffData>
                  <w:name w:val="Check2"/>
                  <w:enabled/>
                  <w:calcOnExit w:val="0"/>
                  <w:checkBox>
                    <w:sizeAuto/>
                    <w:default w:val="0"/>
                    <w:checked w:val="0"/>
                  </w:checkBox>
                </w:ffData>
              </w:fldChar>
            </w:r>
            <w:r w:rsidRPr="007110CE">
              <w:instrText xml:space="preserve"> FORMCHECKBOX </w:instrText>
            </w:r>
            <w:r w:rsidR="005B6E3F">
              <w:fldChar w:fldCharType="separate"/>
            </w:r>
            <w:r w:rsidRPr="007110CE">
              <w:fldChar w:fldCharType="end"/>
            </w:r>
            <w:r w:rsidRPr="007110CE">
              <w:t xml:space="preserve"> No</w:t>
            </w:r>
            <w:r w:rsidR="00E3050F">
              <w:t>, you are not eligible.</w:t>
            </w:r>
          </w:p>
        </w:tc>
      </w:tr>
      <w:tr w:rsidR="00261E4D" w:rsidRPr="007110CE" w14:paraId="137032AA" w14:textId="77777777" w:rsidTr="0099017A">
        <w:trPr>
          <w:trHeight w:val="1008"/>
        </w:trPr>
        <w:tc>
          <w:tcPr>
            <w:tcW w:w="10714" w:type="dxa"/>
          </w:tcPr>
          <w:p w14:paraId="7E6C0F28" w14:textId="77777777" w:rsidR="00E3050F" w:rsidRPr="00E3050F" w:rsidRDefault="00E3050F" w:rsidP="00DB4FA1">
            <w:pPr>
              <w:pStyle w:val="Form-Bodytext1"/>
              <w:numPr>
                <w:ilvl w:val="0"/>
                <w:numId w:val="16"/>
              </w:numPr>
              <w:spacing w:before="240"/>
              <w:ind w:left="360"/>
            </w:pPr>
            <w:bookmarkStart w:id="0" w:name="_Hlk142919891"/>
            <w:r w:rsidRPr="00E3050F">
              <w:t>Does the data satisfy the completeness criteria found in Table B?</w:t>
            </w:r>
          </w:p>
          <w:bookmarkEnd w:id="0"/>
          <w:p w14:paraId="5D0AC663" w14:textId="4B3B17F4" w:rsidR="00E3050F" w:rsidRDefault="00DB4FA1" w:rsidP="00DB4FA1">
            <w:pPr>
              <w:pStyle w:val="Form-Bodytext1"/>
              <w:spacing w:before="60"/>
              <w:ind w:left="360" w:hanging="360"/>
            </w:pPr>
            <w:r>
              <w:tab/>
            </w:r>
            <w:r w:rsidR="00E3050F" w:rsidRPr="007110CE">
              <w:fldChar w:fldCharType="begin">
                <w:ffData>
                  <w:name w:val="Check1"/>
                  <w:enabled/>
                  <w:calcOnExit w:val="0"/>
                  <w:checkBox>
                    <w:sizeAuto/>
                    <w:default w:val="0"/>
                  </w:checkBox>
                </w:ffData>
              </w:fldChar>
            </w:r>
            <w:r w:rsidR="00E3050F" w:rsidRPr="007110CE">
              <w:instrText xml:space="preserve"> FORMCHECKBOX </w:instrText>
            </w:r>
            <w:r w:rsidR="005B6E3F">
              <w:fldChar w:fldCharType="separate"/>
            </w:r>
            <w:r w:rsidR="00E3050F" w:rsidRPr="007110CE">
              <w:fldChar w:fldCharType="end"/>
            </w:r>
            <w:r w:rsidR="00E3050F" w:rsidRPr="007110CE">
              <w:t xml:space="preserve"> Yes</w:t>
            </w:r>
            <w:r w:rsidR="00530BE0">
              <w:t>.</w:t>
            </w:r>
          </w:p>
          <w:p w14:paraId="79E9A51D" w14:textId="2251CB85" w:rsidR="00261E4D" w:rsidRPr="007110CE" w:rsidRDefault="00DB4FA1" w:rsidP="00DB4FA1">
            <w:pPr>
              <w:pStyle w:val="Form-Bodytext1"/>
              <w:spacing w:before="60"/>
              <w:ind w:left="360" w:hanging="360"/>
            </w:pPr>
            <w:r>
              <w:tab/>
            </w:r>
            <w:r w:rsidR="00E3050F" w:rsidRPr="007110CE">
              <w:fldChar w:fldCharType="begin">
                <w:ffData>
                  <w:name w:val="Check2"/>
                  <w:enabled/>
                  <w:calcOnExit w:val="0"/>
                  <w:checkBox>
                    <w:sizeAuto/>
                    <w:default w:val="0"/>
                  </w:checkBox>
                </w:ffData>
              </w:fldChar>
            </w:r>
            <w:r w:rsidR="00E3050F" w:rsidRPr="007110CE">
              <w:instrText xml:space="preserve"> FORMCHECKBOX </w:instrText>
            </w:r>
            <w:r w:rsidR="005B6E3F">
              <w:fldChar w:fldCharType="separate"/>
            </w:r>
            <w:r w:rsidR="00E3050F" w:rsidRPr="007110CE">
              <w:fldChar w:fldCharType="end"/>
            </w:r>
            <w:r w:rsidR="00E3050F" w:rsidRPr="007110CE">
              <w:t xml:space="preserve"> No</w:t>
            </w:r>
            <w:r w:rsidR="00E3050F">
              <w:t>, you are not eligible.</w:t>
            </w:r>
          </w:p>
        </w:tc>
      </w:tr>
      <w:tr w:rsidR="00261E4D" w:rsidRPr="007110CE" w14:paraId="0A373FBC" w14:textId="77777777" w:rsidTr="0099017A">
        <w:trPr>
          <w:trHeight w:val="963"/>
        </w:trPr>
        <w:tc>
          <w:tcPr>
            <w:tcW w:w="10714" w:type="dxa"/>
          </w:tcPr>
          <w:p w14:paraId="28DCFD73" w14:textId="77777777" w:rsidR="00E3050F" w:rsidRPr="00E3050F" w:rsidRDefault="00E3050F" w:rsidP="00DB4FA1">
            <w:pPr>
              <w:pStyle w:val="Form-Bodytext1"/>
              <w:numPr>
                <w:ilvl w:val="0"/>
                <w:numId w:val="16"/>
              </w:numPr>
              <w:spacing w:before="240"/>
              <w:ind w:left="360"/>
            </w:pPr>
            <w:r w:rsidRPr="00E3050F">
              <w:t>Have all state and federal monitor and data audits been completed and approved by the MPCA?</w:t>
            </w:r>
          </w:p>
          <w:p w14:paraId="4F624293" w14:textId="2ECF7318" w:rsidR="00E3050F" w:rsidRDefault="00DB4FA1" w:rsidP="00DB4FA1">
            <w:pPr>
              <w:pStyle w:val="Form-Bodytext1"/>
              <w:spacing w:before="60"/>
              <w:ind w:left="360" w:hanging="360"/>
            </w:pPr>
            <w:r>
              <w:tab/>
            </w:r>
            <w:r w:rsidR="00E3050F" w:rsidRPr="007110CE">
              <w:fldChar w:fldCharType="begin">
                <w:ffData>
                  <w:name w:val="Check1"/>
                  <w:enabled/>
                  <w:calcOnExit w:val="0"/>
                  <w:checkBox>
                    <w:sizeAuto/>
                    <w:default w:val="0"/>
                  </w:checkBox>
                </w:ffData>
              </w:fldChar>
            </w:r>
            <w:r w:rsidR="00E3050F" w:rsidRPr="007110CE">
              <w:instrText xml:space="preserve"> FORMCHECKBOX </w:instrText>
            </w:r>
            <w:r w:rsidR="005B6E3F">
              <w:fldChar w:fldCharType="separate"/>
            </w:r>
            <w:r w:rsidR="00E3050F" w:rsidRPr="007110CE">
              <w:fldChar w:fldCharType="end"/>
            </w:r>
            <w:r w:rsidR="00E3050F" w:rsidRPr="007110CE">
              <w:t xml:space="preserve"> Yes</w:t>
            </w:r>
            <w:r w:rsidR="00530BE0">
              <w:t>.</w:t>
            </w:r>
          </w:p>
          <w:p w14:paraId="07BD74D2" w14:textId="4387E22A" w:rsidR="00C65482" w:rsidRPr="007110CE" w:rsidRDefault="00DB4FA1" w:rsidP="00DB4FA1">
            <w:pPr>
              <w:pStyle w:val="Form-Bodytext1"/>
              <w:spacing w:before="60"/>
              <w:ind w:left="360" w:hanging="360"/>
            </w:pPr>
            <w:r>
              <w:tab/>
            </w:r>
            <w:r w:rsidR="00E3050F" w:rsidRPr="007110CE">
              <w:fldChar w:fldCharType="begin">
                <w:ffData>
                  <w:name w:val="Check2"/>
                  <w:enabled/>
                  <w:calcOnExit w:val="0"/>
                  <w:checkBox>
                    <w:sizeAuto/>
                    <w:default w:val="0"/>
                  </w:checkBox>
                </w:ffData>
              </w:fldChar>
            </w:r>
            <w:r w:rsidR="00E3050F" w:rsidRPr="007110CE">
              <w:instrText xml:space="preserve"> FORMCHECKBOX </w:instrText>
            </w:r>
            <w:r w:rsidR="005B6E3F">
              <w:fldChar w:fldCharType="separate"/>
            </w:r>
            <w:r w:rsidR="00E3050F" w:rsidRPr="007110CE">
              <w:fldChar w:fldCharType="end"/>
            </w:r>
            <w:r w:rsidR="00E3050F" w:rsidRPr="007110CE">
              <w:t xml:space="preserve"> No</w:t>
            </w:r>
            <w:r w:rsidR="00E3050F">
              <w:t>, you are not eligible.</w:t>
            </w:r>
          </w:p>
        </w:tc>
      </w:tr>
      <w:tr w:rsidR="00B527F9" w:rsidRPr="007110CE" w14:paraId="6C53DF09" w14:textId="77777777" w:rsidTr="0099017A">
        <w:tc>
          <w:tcPr>
            <w:tcW w:w="10714" w:type="dxa"/>
          </w:tcPr>
          <w:p w14:paraId="101A2DEB" w14:textId="09FACC98" w:rsidR="00F12A3E" w:rsidRDefault="00E3050F" w:rsidP="00F12A3E">
            <w:pPr>
              <w:pStyle w:val="Form-Bodytext1"/>
              <w:numPr>
                <w:ilvl w:val="0"/>
                <w:numId w:val="16"/>
              </w:numPr>
              <w:spacing w:before="240"/>
              <w:ind w:left="360"/>
            </w:pPr>
            <w:r w:rsidRPr="00E3050F">
              <w:t xml:space="preserve">Is the probability that your monitor(s) will exceed 80% of the applicable </w:t>
            </w:r>
            <w:r w:rsidR="003914E5">
              <w:t>National Ambient Air Quality Standards (</w:t>
            </w:r>
            <w:r w:rsidRPr="00E3050F">
              <w:t>NAAQS</w:t>
            </w:r>
            <w:r w:rsidR="003914E5">
              <w:t>)</w:t>
            </w:r>
            <w:r w:rsidRPr="00E3050F">
              <w:t xml:space="preserve"> or </w:t>
            </w:r>
            <w:r w:rsidR="003914E5">
              <w:t>Minnesota Ambient Air Quality Standards (</w:t>
            </w:r>
            <w:r w:rsidRPr="00E3050F">
              <w:t>MAAQS</w:t>
            </w:r>
            <w:r w:rsidR="003914E5">
              <w:t>)</w:t>
            </w:r>
            <w:r w:rsidRPr="00E3050F">
              <w:t xml:space="preserve"> during the next three years less than 10%? See instructions for determining eligibility. </w:t>
            </w:r>
            <w:r w:rsidR="0017575F">
              <w:t xml:space="preserve">Record the design value (DV) for at least the number of years required for </w:t>
            </w:r>
            <w:r w:rsidR="002959EC">
              <w:t>three</w:t>
            </w:r>
            <w:r w:rsidR="0017575F">
              <w:t xml:space="preserve"> DV according to Table B, then u</w:t>
            </w:r>
            <w:r w:rsidRPr="00E3050F">
              <w:t>se the provided equation</w:t>
            </w:r>
            <w:r w:rsidR="000352A5">
              <w:t xml:space="preserve"> to calculate an upper confidence </w:t>
            </w:r>
            <w:r w:rsidR="00380CBD">
              <w:t>limit</w:t>
            </w:r>
            <w:r w:rsidRPr="00E3050F">
              <w:t xml:space="preserve"> and enter the relevant values in the table below.</w:t>
            </w:r>
          </w:p>
          <w:p w14:paraId="7698CD23" w14:textId="62E07614" w:rsidR="00F12A3E" w:rsidRDefault="00F12A3E" w:rsidP="00F12A3E">
            <w:pPr>
              <w:pStyle w:val="Form-Bodytext1"/>
              <w:spacing w:before="60"/>
              <w:ind w:left="360"/>
            </w:pPr>
            <w:r w:rsidRPr="007110CE">
              <w:fldChar w:fldCharType="begin">
                <w:ffData>
                  <w:name w:val="Check1"/>
                  <w:enabled/>
                  <w:calcOnExit w:val="0"/>
                  <w:checkBox>
                    <w:sizeAuto/>
                    <w:default w:val="0"/>
                  </w:checkBox>
                </w:ffData>
              </w:fldChar>
            </w:r>
            <w:r w:rsidRPr="007110CE">
              <w:instrText xml:space="preserve"> FORMCHECKBOX </w:instrText>
            </w:r>
            <w:r w:rsidR="005B6E3F">
              <w:fldChar w:fldCharType="separate"/>
            </w:r>
            <w:r w:rsidRPr="007110CE">
              <w:fldChar w:fldCharType="end"/>
            </w:r>
            <w:r w:rsidRPr="007110CE">
              <w:t xml:space="preserve"> Yes</w:t>
            </w:r>
            <w:r>
              <w:t xml:space="preserve">, the 90% upper confidence </w:t>
            </w:r>
            <w:r w:rsidR="00380CBD">
              <w:t>limit</w:t>
            </w:r>
            <w:r>
              <w:t xml:space="preserve"> is less than 80% of the applicable ambient air standards for all monitors.</w:t>
            </w:r>
          </w:p>
          <w:p w14:paraId="14509A85" w14:textId="0BA5E6ED" w:rsidR="00F12A3E" w:rsidRDefault="00F12A3E" w:rsidP="00F12A3E">
            <w:pPr>
              <w:pStyle w:val="Form-Bodytext1"/>
              <w:spacing w:before="60" w:after="120"/>
              <w:ind w:left="360"/>
            </w:pPr>
            <w:r w:rsidRPr="007110CE">
              <w:fldChar w:fldCharType="begin">
                <w:ffData>
                  <w:name w:val="Check2"/>
                  <w:enabled/>
                  <w:calcOnExit w:val="0"/>
                  <w:checkBox>
                    <w:sizeAuto/>
                    <w:default w:val="0"/>
                  </w:checkBox>
                </w:ffData>
              </w:fldChar>
            </w:r>
            <w:r w:rsidRPr="007110CE">
              <w:instrText xml:space="preserve"> FORMCHECKBOX </w:instrText>
            </w:r>
            <w:r w:rsidR="005B6E3F">
              <w:fldChar w:fldCharType="separate"/>
            </w:r>
            <w:r w:rsidRPr="007110CE">
              <w:fldChar w:fldCharType="end"/>
            </w:r>
            <w:r w:rsidRPr="007110CE">
              <w:t xml:space="preserve"> No</w:t>
            </w:r>
            <w:r>
              <w:t>, you are not eligible.</w:t>
            </w:r>
          </w:p>
          <w:tbl>
            <w:tblPr>
              <w:tblW w:w="10545" w:type="dxa"/>
              <w:jc w:val="center"/>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240"/>
              <w:gridCol w:w="720"/>
              <w:gridCol w:w="1888"/>
              <w:gridCol w:w="630"/>
              <w:gridCol w:w="630"/>
              <w:gridCol w:w="631"/>
              <w:gridCol w:w="630"/>
              <w:gridCol w:w="631"/>
              <w:gridCol w:w="630"/>
              <w:gridCol w:w="720"/>
              <w:gridCol w:w="630"/>
              <w:gridCol w:w="630"/>
              <w:gridCol w:w="967"/>
              <w:gridCol w:w="968"/>
            </w:tblGrid>
            <w:tr w:rsidR="0078418B" w:rsidRPr="00DB4FA1" w14:paraId="0DC647DD" w14:textId="4D37CA75" w:rsidTr="0078418B">
              <w:trPr>
                <w:trHeight w:val="432"/>
                <w:jc w:val="center"/>
              </w:trPr>
              <w:tc>
                <w:tcPr>
                  <w:tcW w:w="240" w:type="dxa"/>
                  <w:tcBorders>
                    <w:top w:val="nil"/>
                    <w:bottom w:val="nil"/>
                    <w:right w:val="nil"/>
                  </w:tcBorders>
                  <w:tcMar>
                    <w:left w:w="43" w:type="dxa"/>
                    <w:right w:w="43" w:type="dxa"/>
                  </w:tcMar>
                  <w:vAlign w:val="bottom"/>
                </w:tcPr>
                <w:p w14:paraId="0E7D1450" w14:textId="77777777" w:rsidR="00CD046A" w:rsidRPr="00DB4FA1" w:rsidRDefault="00CD046A" w:rsidP="00CD046A">
                  <w:pPr>
                    <w:pStyle w:val="Form-Bodytext1"/>
                    <w:rPr>
                      <w:rFonts w:cs="Arial"/>
                      <w:b/>
                      <w:bCs w:val="0"/>
                      <w:sz w:val="16"/>
                      <w:szCs w:val="16"/>
                    </w:rPr>
                  </w:pPr>
                </w:p>
              </w:tc>
              <w:tc>
                <w:tcPr>
                  <w:tcW w:w="720" w:type="dxa"/>
                  <w:tcBorders>
                    <w:top w:val="nil"/>
                    <w:left w:val="nil"/>
                  </w:tcBorders>
                  <w:tcMar>
                    <w:left w:w="43" w:type="dxa"/>
                    <w:right w:w="43" w:type="dxa"/>
                  </w:tcMar>
                  <w:vAlign w:val="bottom"/>
                </w:tcPr>
                <w:p w14:paraId="6F810758" w14:textId="1664D87F" w:rsidR="00CD046A" w:rsidRPr="00DB4FA1" w:rsidRDefault="00CD046A" w:rsidP="00CD046A">
                  <w:pPr>
                    <w:pStyle w:val="Form-Bodytext1"/>
                    <w:rPr>
                      <w:rFonts w:cs="Arial"/>
                      <w:b/>
                      <w:bCs w:val="0"/>
                      <w:sz w:val="16"/>
                      <w:szCs w:val="16"/>
                    </w:rPr>
                  </w:pPr>
                  <w:r w:rsidRPr="00DB4FA1">
                    <w:rPr>
                      <w:rFonts w:cs="Arial"/>
                      <w:b/>
                      <w:bCs w:val="0"/>
                      <w:sz w:val="16"/>
                      <w:szCs w:val="16"/>
                    </w:rPr>
                    <w:t>Site</w:t>
                  </w:r>
                </w:p>
              </w:tc>
              <w:tc>
                <w:tcPr>
                  <w:tcW w:w="1888" w:type="dxa"/>
                  <w:tcMar>
                    <w:left w:w="43" w:type="dxa"/>
                    <w:right w:w="43" w:type="dxa"/>
                  </w:tcMar>
                  <w:vAlign w:val="bottom"/>
                </w:tcPr>
                <w:p w14:paraId="4403A358" w14:textId="1DA6CB91" w:rsidR="00CD046A" w:rsidRPr="00DB4FA1" w:rsidRDefault="00CD046A" w:rsidP="00CD046A">
                  <w:pPr>
                    <w:pStyle w:val="Form-Bodytext1"/>
                    <w:rPr>
                      <w:rFonts w:cs="Arial"/>
                      <w:b/>
                      <w:bCs w:val="0"/>
                      <w:sz w:val="16"/>
                      <w:szCs w:val="16"/>
                    </w:rPr>
                  </w:pPr>
                  <w:r w:rsidRPr="00DB4FA1">
                    <w:rPr>
                      <w:rFonts w:cs="Arial"/>
                      <w:b/>
                      <w:bCs w:val="0"/>
                      <w:sz w:val="16"/>
                      <w:szCs w:val="16"/>
                    </w:rPr>
                    <w:t>Pollutant</w:t>
                  </w:r>
                </w:p>
              </w:tc>
              <w:tc>
                <w:tcPr>
                  <w:tcW w:w="630" w:type="dxa"/>
                  <w:tcMar>
                    <w:left w:w="43" w:type="dxa"/>
                    <w:right w:w="43" w:type="dxa"/>
                  </w:tcMar>
                  <w:vAlign w:val="bottom"/>
                </w:tcPr>
                <w:p w14:paraId="5A9E41DB" w14:textId="17B000A4" w:rsidR="00CD046A" w:rsidRPr="00DB4FA1" w:rsidRDefault="00CD046A" w:rsidP="0078418B">
                  <w:pPr>
                    <w:pStyle w:val="Form-Bodytext1"/>
                    <w:rPr>
                      <w:rFonts w:cs="Arial"/>
                      <w:b/>
                      <w:bCs w:val="0"/>
                      <w:sz w:val="16"/>
                      <w:szCs w:val="16"/>
                    </w:rPr>
                  </w:pPr>
                  <w:r w:rsidRPr="0078418B">
                    <w:rPr>
                      <w:rFonts w:cs="Arial"/>
                      <w:b/>
                      <w:bCs w:val="0"/>
                      <w:sz w:val="16"/>
                      <w:szCs w:val="16"/>
                    </w:rPr>
                    <w:t>D</w:t>
                  </w:r>
                  <w:r w:rsidR="00342B17" w:rsidRPr="0078418B">
                    <w:rPr>
                      <w:rFonts w:cs="Arial"/>
                      <w:b/>
                      <w:bCs w:val="0"/>
                      <w:sz w:val="16"/>
                      <w:szCs w:val="16"/>
                    </w:rPr>
                    <w:t>V</w:t>
                  </w:r>
                  <w:r w:rsidRPr="0078418B">
                    <w:rPr>
                      <w:rFonts w:cs="Arial"/>
                      <w:b/>
                      <w:bCs w:val="0"/>
                      <w:sz w:val="16"/>
                      <w:szCs w:val="16"/>
                    </w:rPr>
                    <w:t xml:space="preserve"> </w:t>
                  </w:r>
                  <w:r w:rsidRPr="00DB4FA1">
                    <w:rPr>
                      <w:rFonts w:cs="Arial"/>
                      <w:b/>
                      <w:bCs w:val="0"/>
                      <w:sz w:val="16"/>
                      <w:szCs w:val="16"/>
                    </w:rPr>
                    <w:t>Year 1</w:t>
                  </w:r>
                </w:p>
              </w:tc>
              <w:tc>
                <w:tcPr>
                  <w:tcW w:w="630" w:type="dxa"/>
                  <w:tcMar>
                    <w:left w:w="43" w:type="dxa"/>
                    <w:right w:w="43" w:type="dxa"/>
                  </w:tcMar>
                  <w:vAlign w:val="bottom"/>
                </w:tcPr>
                <w:p w14:paraId="6B0559E6" w14:textId="7A6C87CD" w:rsidR="00CD046A" w:rsidRPr="00DB4FA1" w:rsidRDefault="00CD046A" w:rsidP="0078418B">
                  <w:pPr>
                    <w:pStyle w:val="Form-Bodytext1"/>
                    <w:rPr>
                      <w:rFonts w:cs="Arial"/>
                      <w:b/>
                      <w:bCs w:val="0"/>
                      <w:sz w:val="16"/>
                      <w:szCs w:val="16"/>
                    </w:rPr>
                  </w:pPr>
                  <w:r w:rsidRPr="00DB4FA1">
                    <w:rPr>
                      <w:rFonts w:cs="Arial"/>
                      <w:b/>
                      <w:bCs w:val="0"/>
                      <w:sz w:val="16"/>
                      <w:szCs w:val="16"/>
                    </w:rPr>
                    <w:t>DV Year</w:t>
                  </w:r>
                  <w:r w:rsidR="00E93749" w:rsidRPr="00DB4FA1">
                    <w:rPr>
                      <w:rFonts w:cs="Arial"/>
                      <w:b/>
                      <w:bCs w:val="0"/>
                      <w:sz w:val="16"/>
                      <w:szCs w:val="16"/>
                    </w:rPr>
                    <w:t xml:space="preserve"> </w:t>
                  </w:r>
                  <w:r w:rsidRPr="00DB4FA1">
                    <w:rPr>
                      <w:rFonts w:cs="Arial"/>
                      <w:b/>
                      <w:bCs w:val="0"/>
                      <w:sz w:val="16"/>
                      <w:szCs w:val="16"/>
                    </w:rPr>
                    <w:t>2</w:t>
                  </w:r>
                </w:p>
              </w:tc>
              <w:tc>
                <w:tcPr>
                  <w:tcW w:w="631" w:type="dxa"/>
                  <w:tcMar>
                    <w:left w:w="43" w:type="dxa"/>
                    <w:right w:w="43" w:type="dxa"/>
                  </w:tcMar>
                  <w:vAlign w:val="bottom"/>
                </w:tcPr>
                <w:p w14:paraId="785D5785" w14:textId="07081B0F" w:rsidR="00CD046A" w:rsidRPr="00DB4FA1" w:rsidRDefault="00CD046A" w:rsidP="0078418B">
                  <w:pPr>
                    <w:pStyle w:val="Form-Bodytext1"/>
                    <w:rPr>
                      <w:rFonts w:cs="Arial"/>
                      <w:b/>
                      <w:bCs w:val="0"/>
                      <w:sz w:val="16"/>
                      <w:szCs w:val="16"/>
                    </w:rPr>
                  </w:pPr>
                  <w:r w:rsidRPr="00DB4FA1">
                    <w:rPr>
                      <w:rFonts w:cs="Arial"/>
                      <w:b/>
                      <w:bCs w:val="0"/>
                      <w:sz w:val="16"/>
                      <w:szCs w:val="16"/>
                    </w:rPr>
                    <w:t>DV Year 3</w:t>
                  </w:r>
                </w:p>
              </w:tc>
              <w:tc>
                <w:tcPr>
                  <w:tcW w:w="630" w:type="dxa"/>
                  <w:tcMar>
                    <w:left w:w="43" w:type="dxa"/>
                    <w:right w:w="43" w:type="dxa"/>
                  </w:tcMar>
                  <w:vAlign w:val="bottom"/>
                </w:tcPr>
                <w:p w14:paraId="1A772E21" w14:textId="5060158B" w:rsidR="00CD046A" w:rsidRPr="00DB4FA1" w:rsidRDefault="00CD046A" w:rsidP="0078418B">
                  <w:pPr>
                    <w:pStyle w:val="Form-Bodytext1"/>
                    <w:rPr>
                      <w:rFonts w:cs="Arial"/>
                      <w:b/>
                      <w:bCs w:val="0"/>
                      <w:sz w:val="16"/>
                      <w:szCs w:val="16"/>
                    </w:rPr>
                  </w:pPr>
                  <w:r w:rsidRPr="00DB4FA1">
                    <w:rPr>
                      <w:rFonts w:cs="Arial"/>
                      <w:b/>
                      <w:bCs w:val="0"/>
                      <w:sz w:val="16"/>
                      <w:szCs w:val="16"/>
                    </w:rPr>
                    <w:t>DV Year 4</w:t>
                  </w:r>
                </w:p>
              </w:tc>
              <w:tc>
                <w:tcPr>
                  <w:tcW w:w="631" w:type="dxa"/>
                  <w:tcMar>
                    <w:left w:w="43" w:type="dxa"/>
                    <w:right w:w="43" w:type="dxa"/>
                  </w:tcMar>
                  <w:vAlign w:val="bottom"/>
                </w:tcPr>
                <w:p w14:paraId="04515511" w14:textId="4AD6F005" w:rsidR="00CD046A" w:rsidRPr="00DB4FA1" w:rsidRDefault="00CD046A" w:rsidP="0078418B">
                  <w:pPr>
                    <w:pStyle w:val="Form-Bodytext1"/>
                    <w:rPr>
                      <w:rFonts w:cs="Arial"/>
                      <w:b/>
                      <w:bCs w:val="0"/>
                      <w:sz w:val="16"/>
                      <w:szCs w:val="16"/>
                    </w:rPr>
                  </w:pPr>
                  <w:r w:rsidRPr="00DB4FA1">
                    <w:rPr>
                      <w:rFonts w:cs="Arial"/>
                      <w:b/>
                      <w:bCs w:val="0"/>
                      <w:sz w:val="16"/>
                      <w:szCs w:val="16"/>
                    </w:rPr>
                    <w:t>DV Year 5</w:t>
                  </w:r>
                </w:p>
              </w:tc>
              <w:tc>
                <w:tcPr>
                  <w:tcW w:w="630" w:type="dxa"/>
                  <w:tcMar>
                    <w:left w:w="43" w:type="dxa"/>
                    <w:right w:w="43" w:type="dxa"/>
                  </w:tcMar>
                  <w:vAlign w:val="bottom"/>
                </w:tcPr>
                <w:p w14:paraId="50D64E96" w14:textId="4F0BC428" w:rsidR="00CD046A" w:rsidRPr="00DB4FA1" w:rsidRDefault="00CD046A" w:rsidP="0078418B">
                  <w:pPr>
                    <w:pStyle w:val="Form-Bodytext1"/>
                    <w:rPr>
                      <w:rFonts w:cs="Arial"/>
                      <w:b/>
                      <w:bCs w:val="0"/>
                      <w:sz w:val="16"/>
                      <w:szCs w:val="16"/>
                    </w:rPr>
                  </w:pPr>
                  <w:r w:rsidRPr="00DB4FA1">
                    <w:rPr>
                      <w:rFonts w:cs="Arial"/>
                      <w:b/>
                      <w:bCs w:val="0"/>
                      <w:sz w:val="16"/>
                      <w:szCs w:val="16"/>
                    </w:rPr>
                    <w:t>Avg.</w:t>
                  </w:r>
                  <w:r w:rsidR="00DB4FA1">
                    <w:rPr>
                      <w:rFonts w:cs="Arial"/>
                      <w:b/>
                      <w:bCs w:val="0"/>
                      <w:sz w:val="16"/>
                      <w:szCs w:val="16"/>
                    </w:rPr>
                    <w:t xml:space="preserve"> </w:t>
                  </w:r>
                  <w:r w:rsidRPr="00DB4FA1">
                    <w:rPr>
                      <w:rFonts w:cs="Arial"/>
                      <w:b/>
                      <w:bCs w:val="0"/>
                      <w:sz w:val="16"/>
                      <w:szCs w:val="16"/>
                    </w:rPr>
                    <w:t xml:space="preserve">DV </w:t>
                  </w:r>
                  <w:r w:rsidR="00374078" w:rsidRPr="00DB4FA1">
                    <w:rPr>
                      <w:rFonts w:cs="Arial"/>
                      <w:b/>
                      <w:bCs w:val="0"/>
                      <w:sz w:val="16"/>
                      <w:szCs w:val="16"/>
                    </w:rPr>
                    <w:t>(</w:t>
                  </w:r>
                  <m:oMath>
                    <m:acc>
                      <m:accPr>
                        <m:chr m:val="̅"/>
                        <m:ctrlPr>
                          <w:rPr>
                            <w:rFonts w:ascii="Cambria Math" w:hAnsi="Cambria Math" w:cs="Arial"/>
                            <w:b/>
                            <w:bCs w:val="0"/>
                            <w:i/>
                            <w:sz w:val="16"/>
                            <w:szCs w:val="16"/>
                          </w:rPr>
                        </m:ctrlPr>
                      </m:accPr>
                      <m:e>
                        <m:r>
                          <m:rPr>
                            <m:sty m:val="bi"/>
                          </m:rPr>
                          <w:rPr>
                            <w:rFonts w:ascii="Cambria Math" w:hAnsi="Cambria Math" w:cs="Arial"/>
                            <w:sz w:val="16"/>
                            <w:szCs w:val="16"/>
                          </w:rPr>
                          <m:t>X</m:t>
                        </m:r>
                      </m:e>
                    </m:acc>
                  </m:oMath>
                  <w:r w:rsidR="00930127" w:rsidRPr="00DB4FA1">
                    <w:rPr>
                      <w:rFonts w:cs="Arial"/>
                      <w:b/>
                      <w:bCs w:val="0"/>
                      <w:sz w:val="16"/>
                      <w:szCs w:val="16"/>
                    </w:rPr>
                    <w:t>)</w:t>
                  </w:r>
                </w:p>
              </w:tc>
              <w:tc>
                <w:tcPr>
                  <w:tcW w:w="720" w:type="dxa"/>
                  <w:tcMar>
                    <w:left w:w="43" w:type="dxa"/>
                    <w:right w:w="43" w:type="dxa"/>
                  </w:tcMar>
                  <w:vAlign w:val="bottom"/>
                </w:tcPr>
                <w:p w14:paraId="31524470" w14:textId="3D78F750" w:rsidR="00CD046A" w:rsidRPr="00DB4FA1" w:rsidRDefault="00CD046A" w:rsidP="0078418B">
                  <w:pPr>
                    <w:rPr>
                      <w:rFonts w:cs="Arial"/>
                      <w:b/>
                      <w:i/>
                      <w:iCs/>
                      <w:sz w:val="16"/>
                      <w:szCs w:val="16"/>
                    </w:rPr>
                  </w:pPr>
                  <w:r w:rsidRPr="00DB4FA1">
                    <w:rPr>
                      <w:rFonts w:cs="Arial"/>
                      <w:b/>
                      <w:bCs/>
                      <w:sz w:val="16"/>
                      <w:szCs w:val="16"/>
                    </w:rPr>
                    <w:t>Stan</w:t>
                  </w:r>
                  <w:r w:rsidR="008A3BAB" w:rsidRPr="00DB4FA1">
                    <w:rPr>
                      <w:rFonts w:cs="Arial"/>
                      <w:b/>
                      <w:bCs/>
                      <w:sz w:val="16"/>
                      <w:szCs w:val="16"/>
                    </w:rPr>
                    <w:t>d</w:t>
                  </w:r>
                  <w:r w:rsidR="003247F2" w:rsidRPr="00DB4FA1">
                    <w:rPr>
                      <w:rFonts w:cs="Arial"/>
                      <w:b/>
                      <w:bCs/>
                      <w:sz w:val="16"/>
                      <w:szCs w:val="16"/>
                    </w:rPr>
                    <w:t>.</w:t>
                  </w:r>
                  <w:r w:rsidRPr="00DB4FA1">
                    <w:rPr>
                      <w:rFonts w:cs="Arial"/>
                      <w:b/>
                      <w:bCs/>
                      <w:sz w:val="16"/>
                      <w:szCs w:val="16"/>
                    </w:rPr>
                    <w:t xml:space="preserve"> Dev.</w:t>
                  </w:r>
                  <w:r w:rsidR="00374078" w:rsidRPr="00DB4FA1">
                    <w:rPr>
                      <w:rFonts w:cs="Arial"/>
                      <w:b/>
                      <w:bCs/>
                      <w:sz w:val="16"/>
                      <w:szCs w:val="16"/>
                    </w:rPr>
                    <w:t xml:space="preserve"> (</w:t>
                  </w:r>
                  <w:r w:rsidR="00374078" w:rsidRPr="00DB4FA1">
                    <w:rPr>
                      <w:rFonts w:cs="Arial"/>
                      <w:b/>
                      <w:bCs/>
                      <w:i/>
                      <w:iCs/>
                      <w:sz w:val="16"/>
                      <w:szCs w:val="16"/>
                    </w:rPr>
                    <w:t>s</w:t>
                  </w:r>
                  <w:r w:rsidR="00374078" w:rsidRPr="00DB4FA1">
                    <w:rPr>
                      <w:rFonts w:cs="Arial"/>
                      <w:b/>
                      <w:bCs/>
                      <w:sz w:val="16"/>
                      <w:szCs w:val="16"/>
                    </w:rPr>
                    <w:t>)</w:t>
                  </w:r>
                </w:p>
              </w:tc>
              <w:tc>
                <w:tcPr>
                  <w:tcW w:w="630" w:type="dxa"/>
                  <w:tcMar>
                    <w:left w:w="43" w:type="dxa"/>
                    <w:right w:w="43" w:type="dxa"/>
                  </w:tcMar>
                  <w:vAlign w:val="bottom"/>
                </w:tcPr>
                <w:p w14:paraId="6F834CD1" w14:textId="7E1992F9" w:rsidR="00CD046A" w:rsidRPr="00DB4FA1" w:rsidRDefault="00CD046A" w:rsidP="0078418B">
                  <w:pPr>
                    <w:jc w:val="center"/>
                    <w:rPr>
                      <w:rFonts w:cs="Arial"/>
                      <w:b/>
                      <w:i/>
                      <w:iCs/>
                      <w:sz w:val="16"/>
                      <w:szCs w:val="16"/>
                    </w:rPr>
                  </w:pPr>
                  <w:r w:rsidRPr="00DB4FA1">
                    <w:rPr>
                      <w:rFonts w:cs="Arial"/>
                      <w:b/>
                      <w:bCs/>
                      <w:i/>
                      <w:iCs/>
                      <w:sz w:val="16"/>
                      <w:szCs w:val="16"/>
                    </w:rPr>
                    <w:t>t</w:t>
                  </w:r>
                </w:p>
              </w:tc>
              <w:tc>
                <w:tcPr>
                  <w:tcW w:w="630" w:type="dxa"/>
                  <w:tcMar>
                    <w:left w:w="43" w:type="dxa"/>
                    <w:right w:w="43" w:type="dxa"/>
                  </w:tcMar>
                  <w:vAlign w:val="bottom"/>
                </w:tcPr>
                <w:p w14:paraId="51A703F7" w14:textId="1F0D541F" w:rsidR="00CD046A" w:rsidRPr="00DB4FA1" w:rsidRDefault="00CD046A" w:rsidP="0078418B">
                  <w:pPr>
                    <w:jc w:val="center"/>
                    <w:rPr>
                      <w:rFonts w:cs="Arial"/>
                      <w:b/>
                      <w:bCs/>
                      <w:i/>
                      <w:iCs/>
                      <w:sz w:val="16"/>
                      <w:szCs w:val="16"/>
                    </w:rPr>
                  </w:pPr>
                  <w:r w:rsidRPr="00DB4FA1">
                    <w:rPr>
                      <w:rFonts w:cs="Arial"/>
                      <w:b/>
                      <w:bCs/>
                      <w:i/>
                      <w:iCs/>
                      <w:sz w:val="16"/>
                      <w:szCs w:val="16"/>
                    </w:rPr>
                    <w:t>n</w:t>
                  </w:r>
                </w:p>
              </w:tc>
              <w:tc>
                <w:tcPr>
                  <w:tcW w:w="967" w:type="dxa"/>
                  <w:tcMar>
                    <w:left w:w="43" w:type="dxa"/>
                    <w:right w:w="43" w:type="dxa"/>
                  </w:tcMar>
                  <w:vAlign w:val="bottom"/>
                </w:tcPr>
                <w:p w14:paraId="17A24479" w14:textId="6A31AC12" w:rsidR="00CD046A" w:rsidRPr="00DB4FA1" w:rsidRDefault="00CD046A" w:rsidP="0078418B">
                  <w:pPr>
                    <w:rPr>
                      <w:rFonts w:cs="Arial"/>
                      <w:b/>
                      <w:sz w:val="16"/>
                      <w:szCs w:val="16"/>
                    </w:rPr>
                  </w:pPr>
                  <w:r w:rsidRPr="00DB4FA1">
                    <w:rPr>
                      <w:rFonts w:cs="Arial"/>
                      <w:b/>
                      <w:bCs/>
                      <w:sz w:val="16"/>
                      <w:szCs w:val="16"/>
                    </w:rPr>
                    <w:t xml:space="preserve">90% Upper Confidence </w:t>
                  </w:r>
                  <w:r w:rsidR="00380CBD">
                    <w:rPr>
                      <w:rFonts w:cs="Arial"/>
                      <w:b/>
                      <w:bCs/>
                      <w:sz w:val="16"/>
                      <w:szCs w:val="16"/>
                    </w:rPr>
                    <w:t>Limit</w:t>
                  </w:r>
                </w:p>
              </w:tc>
              <w:tc>
                <w:tcPr>
                  <w:tcW w:w="968" w:type="dxa"/>
                  <w:tcMar>
                    <w:left w:w="43" w:type="dxa"/>
                    <w:right w:w="43" w:type="dxa"/>
                  </w:tcMar>
                  <w:vAlign w:val="bottom"/>
                </w:tcPr>
                <w:p w14:paraId="705ECEFB" w14:textId="32A74317" w:rsidR="00CD046A" w:rsidRPr="00DB4FA1" w:rsidRDefault="00CD046A" w:rsidP="0078418B">
                  <w:pPr>
                    <w:rPr>
                      <w:rFonts w:cs="Arial"/>
                      <w:b/>
                      <w:bCs/>
                      <w:sz w:val="16"/>
                      <w:szCs w:val="16"/>
                    </w:rPr>
                  </w:pPr>
                  <w:r w:rsidRPr="00DB4FA1">
                    <w:rPr>
                      <w:rFonts w:cs="Arial"/>
                      <w:b/>
                      <w:bCs/>
                      <w:sz w:val="16"/>
                      <w:szCs w:val="16"/>
                    </w:rPr>
                    <w:t>80% of Applicable Standard</w:t>
                  </w:r>
                </w:p>
              </w:tc>
            </w:tr>
            <w:tr w:rsidR="0078418B" w:rsidRPr="00DB4FA1" w14:paraId="17C1311E" w14:textId="00376348" w:rsidTr="0078418B">
              <w:trPr>
                <w:jc w:val="center"/>
              </w:trPr>
              <w:tc>
                <w:tcPr>
                  <w:tcW w:w="240" w:type="dxa"/>
                  <w:tcBorders>
                    <w:top w:val="nil"/>
                    <w:bottom w:val="nil"/>
                    <w:right w:val="nil"/>
                  </w:tcBorders>
                  <w:tcMar>
                    <w:left w:w="43" w:type="dxa"/>
                    <w:right w:w="43" w:type="dxa"/>
                  </w:tcMar>
                </w:tcPr>
                <w:p w14:paraId="0ABFA156" w14:textId="77777777" w:rsidR="00CD046A" w:rsidRPr="00DB4FA1" w:rsidRDefault="00CD046A" w:rsidP="00CD046A">
                  <w:pPr>
                    <w:spacing w:before="120"/>
                    <w:rPr>
                      <w:rFonts w:cs="Arial"/>
                      <w:sz w:val="16"/>
                      <w:szCs w:val="16"/>
                    </w:rPr>
                  </w:pPr>
                </w:p>
              </w:tc>
              <w:tc>
                <w:tcPr>
                  <w:tcW w:w="720" w:type="dxa"/>
                  <w:tcBorders>
                    <w:top w:val="single" w:sz="2" w:space="0" w:color="auto"/>
                    <w:left w:val="nil"/>
                  </w:tcBorders>
                  <w:tcMar>
                    <w:left w:w="43" w:type="dxa"/>
                    <w:right w:w="43" w:type="dxa"/>
                  </w:tcMar>
                </w:tcPr>
                <w:p w14:paraId="749D0E9F" w14:textId="32EB70F8" w:rsidR="00CD046A" w:rsidRPr="00DB4FA1" w:rsidRDefault="00E93749" w:rsidP="00CD046A">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1888" w:type="dxa"/>
                  <w:tcMar>
                    <w:left w:w="43" w:type="dxa"/>
                    <w:right w:w="43" w:type="dxa"/>
                  </w:tcMar>
                </w:tcPr>
                <w:p w14:paraId="4846D44F" w14:textId="3D83A5CB" w:rsidR="00CD046A" w:rsidRPr="00DB4FA1" w:rsidRDefault="00CD046A" w:rsidP="00CD046A">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0078418B">
                    <w:rPr>
                      <w:rFonts w:cs="Arial"/>
                      <w:sz w:val="16"/>
                      <w:szCs w:val="16"/>
                    </w:rPr>
                    <w:t> </w:t>
                  </w:r>
                  <w:r w:rsidR="0078418B">
                    <w:rPr>
                      <w:rFonts w:cs="Arial"/>
                      <w:sz w:val="16"/>
                      <w:szCs w:val="16"/>
                    </w:rPr>
                    <w:t> </w:t>
                  </w:r>
                  <w:r w:rsidR="0078418B">
                    <w:rPr>
                      <w:rFonts w:cs="Arial"/>
                      <w:sz w:val="16"/>
                      <w:szCs w:val="16"/>
                    </w:rPr>
                    <w:t> </w:t>
                  </w:r>
                  <w:r w:rsidR="0078418B">
                    <w:rPr>
                      <w:rFonts w:cs="Arial"/>
                      <w:sz w:val="16"/>
                      <w:szCs w:val="16"/>
                    </w:rPr>
                    <w:t> </w:t>
                  </w:r>
                  <w:r w:rsidR="0078418B">
                    <w:rPr>
                      <w:rFonts w:cs="Arial"/>
                      <w:sz w:val="16"/>
                      <w:szCs w:val="16"/>
                    </w:rPr>
                    <w:t> </w:t>
                  </w:r>
                  <w:r w:rsidRPr="00DB4FA1">
                    <w:rPr>
                      <w:rFonts w:cs="Arial"/>
                      <w:sz w:val="16"/>
                      <w:szCs w:val="16"/>
                    </w:rPr>
                    <w:fldChar w:fldCharType="end"/>
                  </w:r>
                </w:p>
              </w:tc>
              <w:tc>
                <w:tcPr>
                  <w:tcW w:w="630" w:type="dxa"/>
                  <w:tcMar>
                    <w:left w:w="43" w:type="dxa"/>
                    <w:right w:w="43" w:type="dxa"/>
                  </w:tcMar>
                  <w:vAlign w:val="bottom"/>
                </w:tcPr>
                <w:p w14:paraId="604BBFED" w14:textId="06DA7B38" w:rsidR="00CD046A" w:rsidRPr="00DB4FA1" w:rsidRDefault="00CD046A" w:rsidP="0078418B">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630" w:type="dxa"/>
                  <w:tcMar>
                    <w:left w:w="43" w:type="dxa"/>
                    <w:right w:w="43" w:type="dxa"/>
                  </w:tcMar>
                  <w:vAlign w:val="bottom"/>
                </w:tcPr>
                <w:p w14:paraId="6656531A" w14:textId="6BE03B0C" w:rsidR="00CD046A" w:rsidRPr="00DB4FA1" w:rsidRDefault="00CD046A" w:rsidP="0078418B">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631" w:type="dxa"/>
                  <w:tcMar>
                    <w:left w:w="43" w:type="dxa"/>
                    <w:right w:w="43" w:type="dxa"/>
                  </w:tcMar>
                  <w:vAlign w:val="bottom"/>
                </w:tcPr>
                <w:p w14:paraId="2DCFBAFA" w14:textId="069E5A64" w:rsidR="00CD046A" w:rsidRPr="00DB4FA1" w:rsidRDefault="00CD046A" w:rsidP="0078418B">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630" w:type="dxa"/>
                  <w:tcMar>
                    <w:left w:w="43" w:type="dxa"/>
                    <w:right w:w="43" w:type="dxa"/>
                  </w:tcMar>
                  <w:vAlign w:val="bottom"/>
                </w:tcPr>
                <w:p w14:paraId="261E6F70" w14:textId="23E90632" w:rsidR="00CD046A" w:rsidRPr="00DB4FA1" w:rsidRDefault="00CD046A" w:rsidP="0078418B">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631" w:type="dxa"/>
                  <w:tcMar>
                    <w:left w:w="43" w:type="dxa"/>
                    <w:right w:w="43" w:type="dxa"/>
                  </w:tcMar>
                  <w:vAlign w:val="bottom"/>
                </w:tcPr>
                <w:p w14:paraId="550ED025" w14:textId="6609EB19" w:rsidR="00CD046A" w:rsidRPr="00DB4FA1" w:rsidRDefault="00CD046A" w:rsidP="0078418B">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630" w:type="dxa"/>
                  <w:tcMar>
                    <w:left w:w="43" w:type="dxa"/>
                    <w:right w:w="43" w:type="dxa"/>
                  </w:tcMar>
                  <w:vAlign w:val="bottom"/>
                </w:tcPr>
                <w:p w14:paraId="16D5F557" w14:textId="69807C10" w:rsidR="00CD046A" w:rsidRPr="00DB4FA1" w:rsidRDefault="008A3BAB" w:rsidP="0078418B">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720" w:type="dxa"/>
                  <w:tcMar>
                    <w:left w:w="43" w:type="dxa"/>
                    <w:right w:w="43" w:type="dxa"/>
                  </w:tcMar>
                  <w:vAlign w:val="bottom"/>
                </w:tcPr>
                <w:p w14:paraId="09CB2C9A" w14:textId="6298EF7D" w:rsidR="00CD046A" w:rsidRPr="00DB4FA1" w:rsidRDefault="00CD046A" w:rsidP="0078418B">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630" w:type="dxa"/>
                  <w:tcMar>
                    <w:left w:w="43" w:type="dxa"/>
                    <w:right w:w="43" w:type="dxa"/>
                  </w:tcMar>
                  <w:vAlign w:val="bottom"/>
                </w:tcPr>
                <w:p w14:paraId="3C31A046" w14:textId="01246163" w:rsidR="00CD046A" w:rsidRPr="00DB4FA1" w:rsidRDefault="008A3BAB" w:rsidP="0078418B">
                  <w:pPr>
                    <w:spacing w:before="120"/>
                    <w:jc w:val="center"/>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630" w:type="dxa"/>
                  <w:tcMar>
                    <w:left w:w="43" w:type="dxa"/>
                    <w:right w:w="43" w:type="dxa"/>
                  </w:tcMar>
                  <w:vAlign w:val="bottom"/>
                </w:tcPr>
                <w:p w14:paraId="0A690B13" w14:textId="0B564141" w:rsidR="00CD046A" w:rsidRPr="00DB4FA1" w:rsidRDefault="008A3BAB" w:rsidP="0078418B">
                  <w:pPr>
                    <w:spacing w:before="120"/>
                    <w:jc w:val="center"/>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967" w:type="dxa"/>
                  <w:tcMar>
                    <w:left w:w="43" w:type="dxa"/>
                    <w:right w:w="43" w:type="dxa"/>
                  </w:tcMar>
                  <w:vAlign w:val="bottom"/>
                </w:tcPr>
                <w:p w14:paraId="217B82A0" w14:textId="1206550B" w:rsidR="00CD046A" w:rsidRPr="00DB4FA1" w:rsidRDefault="00CD046A" w:rsidP="0078418B">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968" w:type="dxa"/>
                  <w:tcMar>
                    <w:left w:w="43" w:type="dxa"/>
                    <w:right w:w="43" w:type="dxa"/>
                  </w:tcMar>
                  <w:vAlign w:val="bottom"/>
                </w:tcPr>
                <w:p w14:paraId="67E86A71" w14:textId="14B917F3" w:rsidR="00CD046A" w:rsidRPr="00DB4FA1" w:rsidRDefault="00CD046A" w:rsidP="0078418B">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r>
            <w:tr w:rsidR="0078418B" w:rsidRPr="00DB4FA1" w14:paraId="567C2E5F" w14:textId="5A484E1D" w:rsidTr="0078418B">
              <w:trPr>
                <w:jc w:val="center"/>
              </w:trPr>
              <w:tc>
                <w:tcPr>
                  <w:tcW w:w="240" w:type="dxa"/>
                  <w:tcBorders>
                    <w:top w:val="nil"/>
                    <w:bottom w:val="nil"/>
                    <w:right w:val="nil"/>
                  </w:tcBorders>
                  <w:tcMar>
                    <w:left w:w="43" w:type="dxa"/>
                    <w:right w:w="43" w:type="dxa"/>
                  </w:tcMar>
                </w:tcPr>
                <w:p w14:paraId="69861972" w14:textId="77777777" w:rsidR="00CD046A" w:rsidRPr="00DB4FA1" w:rsidRDefault="00CD046A" w:rsidP="00CD046A">
                  <w:pPr>
                    <w:spacing w:before="120"/>
                    <w:rPr>
                      <w:rFonts w:cs="Arial"/>
                      <w:sz w:val="16"/>
                      <w:szCs w:val="16"/>
                    </w:rPr>
                  </w:pPr>
                </w:p>
              </w:tc>
              <w:tc>
                <w:tcPr>
                  <w:tcW w:w="720" w:type="dxa"/>
                  <w:tcBorders>
                    <w:top w:val="single" w:sz="2" w:space="0" w:color="auto"/>
                    <w:left w:val="nil"/>
                  </w:tcBorders>
                  <w:tcMar>
                    <w:left w:w="43" w:type="dxa"/>
                    <w:right w:w="43" w:type="dxa"/>
                  </w:tcMar>
                </w:tcPr>
                <w:p w14:paraId="588B2A8A" w14:textId="0D59AC5E" w:rsidR="00CD046A" w:rsidRPr="00DB4FA1" w:rsidRDefault="00E93749" w:rsidP="00CD046A">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1888" w:type="dxa"/>
                  <w:tcMar>
                    <w:left w:w="43" w:type="dxa"/>
                    <w:right w:w="43" w:type="dxa"/>
                  </w:tcMar>
                </w:tcPr>
                <w:p w14:paraId="6DEBE132" w14:textId="57C2C150" w:rsidR="00CD046A" w:rsidRPr="00DB4FA1" w:rsidRDefault="00CD046A" w:rsidP="00CD046A">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630" w:type="dxa"/>
                  <w:tcMar>
                    <w:left w:w="43" w:type="dxa"/>
                    <w:right w:w="43" w:type="dxa"/>
                  </w:tcMar>
                  <w:vAlign w:val="bottom"/>
                </w:tcPr>
                <w:p w14:paraId="0D2B3F0B" w14:textId="04E44B9F" w:rsidR="00CD046A" w:rsidRPr="00DB4FA1" w:rsidRDefault="00CD046A" w:rsidP="0078418B">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630" w:type="dxa"/>
                  <w:tcMar>
                    <w:left w:w="43" w:type="dxa"/>
                    <w:right w:w="43" w:type="dxa"/>
                  </w:tcMar>
                  <w:vAlign w:val="bottom"/>
                </w:tcPr>
                <w:p w14:paraId="737D77AC" w14:textId="14461A39" w:rsidR="00CD046A" w:rsidRPr="00DB4FA1" w:rsidRDefault="00CD046A" w:rsidP="0078418B">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631" w:type="dxa"/>
                  <w:tcMar>
                    <w:left w:w="43" w:type="dxa"/>
                    <w:right w:w="43" w:type="dxa"/>
                  </w:tcMar>
                  <w:vAlign w:val="bottom"/>
                </w:tcPr>
                <w:p w14:paraId="0D84ACE8" w14:textId="03FE69E6" w:rsidR="00CD046A" w:rsidRPr="00DB4FA1" w:rsidRDefault="00CD046A" w:rsidP="0078418B">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630" w:type="dxa"/>
                  <w:tcMar>
                    <w:left w:w="43" w:type="dxa"/>
                    <w:right w:w="43" w:type="dxa"/>
                  </w:tcMar>
                  <w:vAlign w:val="bottom"/>
                </w:tcPr>
                <w:p w14:paraId="0F95A711" w14:textId="3D9F78BE" w:rsidR="00CD046A" w:rsidRPr="00DB4FA1" w:rsidRDefault="00CD046A" w:rsidP="0078418B">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631" w:type="dxa"/>
                  <w:tcMar>
                    <w:left w:w="43" w:type="dxa"/>
                    <w:right w:w="43" w:type="dxa"/>
                  </w:tcMar>
                  <w:vAlign w:val="bottom"/>
                </w:tcPr>
                <w:p w14:paraId="4F1E307C" w14:textId="2D65FB05" w:rsidR="00CD046A" w:rsidRPr="00DB4FA1" w:rsidRDefault="00CD046A" w:rsidP="0078418B">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630" w:type="dxa"/>
                  <w:tcMar>
                    <w:left w:w="43" w:type="dxa"/>
                    <w:right w:w="43" w:type="dxa"/>
                  </w:tcMar>
                  <w:vAlign w:val="bottom"/>
                </w:tcPr>
                <w:p w14:paraId="741F5FC1" w14:textId="650D0669" w:rsidR="00CD046A" w:rsidRPr="00DB4FA1" w:rsidRDefault="00CD046A" w:rsidP="0078418B">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720" w:type="dxa"/>
                  <w:tcMar>
                    <w:left w:w="43" w:type="dxa"/>
                    <w:right w:w="43" w:type="dxa"/>
                  </w:tcMar>
                  <w:vAlign w:val="bottom"/>
                </w:tcPr>
                <w:p w14:paraId="4B6B4F1D" w14:textId="20286B8C" w:rsidR="00CD046A" w:rsidRPr="00DB4FA1" w:rsidRDefault="00CD046A" w:rsidP="0078418B">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630" w:type="dxa"/>
                  <w:tcMar>
                    <w:left w:w="43" w:type="dxa"/>
                    <w:right w:w="43" w:type="dxa"/>
                  </w:tcMar>
                  <w:vAlign w:val="bottom"/>
                </w:tcPr>
                <w:p w14:paraId="309DB7B6" w14:textId="3C23F304" w:rsidR="00CD046A" w:rsidRPr="00DB4FA1" w:rsidRDefault="00CD046A" w:rsidP="0078418B">
                  <w:pPr>
                    <w:spacing w:before="120"/>
                    <w:jc w:val="center"/>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630" w:type="dxa"/>
                  <w:tcMar>
                    <w:left w:w="43" w:type="dxa"/>
                    <w:right w:w="43" w:type="dxa"/>
                  </w:tcMar>
                  <w:vAlign w:val="bottom"/>
                </w:tcPr>
                <w:p w14:paraId="2EF944B4" w14:textId="35E95378" w:rsidR="00CD046A" w:rsidRPr="00DB4FA1" w:rsidRDefault="00CD046A" w:rsidP="0078418B">
                  <w:pPr>
                    <w:spacing w:before="120"/>
                    <w:jc w:val="center"/>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967" w:type="dxa"/>
                  <w:tcMar>
                    <w:left w:w="43" w:type="dxa"/>
                    <w:right w:w="43" w:type="dxa"/>
                  </w:tcMar>
                  <w:vAlign w:val="bottom"/>
                </w:tcPr>
                <w:p w14:paraId="626AD5D8" w14:textId="17F93F45" w:rsidR="00CD046A" w:rsidRPr="00DB4FA1" w:rsidRDefault="00CD046A" w:rsidP="0078418B">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968" w:type="dxa"/>
                  <w:tcMar>
                    <w:left w:w="43" w:type="dxa"/>
                    <w:right w:w="43" w:type="dxa"/>
                  </w:tcMar>
                  <w:vAlign w:val="bottom"/>
                </w:tcPr>
                <w:p w14:paraId="22E98754" w14:textId="1BD88B6A" w:rsidR="00CD046A" w:rsidRPr="00DB4FA1" w:rsidRDefault="00CD046A" w:rsidP="0078418B">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r>
            <w:tr w:rsidR="0078418B" w:rsidRPr="00DB4FA1" w14:paraId="45FDBF10" w14:textId="73F95E5B" w:rsidTr="0078418B">
              <w:trPr>
                <w:jc w:val="center"/>
              </w:trPr>
              <w:tc>
                <w:tcPr>
                  <w:tcW w:w="240" w:type="dxa"/>
                  <w:tcBorders>
                    <w:top w:val="nil"/>
                    <w:bottom w:val="nil"/>
                    <w:right w:val="nil"/>
                  </w:tcBorders>
                  <w:tcMar>
                    <w:left w:w="43" w:type="dxa"/>
                    <w:right w:w="43" w:type="dxa"/>
                  </w:tcMar>
                </w:tcPr>
                <w:p w14:paraId="750BD185" w14:textId="77777777" w:rsidR="00CD046A" w:rsidRPr="00DB4FA1" w:rsidRDefault="00CD046A" w:rsidP="00CD046A">
                  <w:pPr>
                    <w:spacing w:before="120"/>
                    <w:rPr>
                      <w:rFonts w:cs="Arial"/>
                      <w:sz w:val="16"/>
                      <w:szCs w:val="16"/>
                    </w:rPr>
                  </w:pPr>
                </w:p>
              </w:tc>
              <w:tc>
                <w:tcPr>
                  <w:tcW w:w="720" w:type="dxa"/>
                  <w:tcBorders>
                    <w:top w:val="single" w:sz="2" w:space="0" w:color="auto"/>
                    <w:left w:val="nil"/>
                  </w:tcBorders>
                  <w:tcMar>
                    <w:left w:w="43" w:type="dxa"/>
                    <w:right w:w="43" w:type="dxa"/>
                  </w:tcMar>
                </w:tcPr>
                <w:p w14:paraId="6171C171" w14:textId="4436568F" w:rsidR="00CD046A" w:rsidRPr="00DB4FA1" w:rsidRDefault="00E93749" w:rsidP="00CD046A">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1888" w:type="dxa"/>
                  <w:tcMar>
                    <w:left w:w="43" w:type="dxa"/>
                    <w:right w:w="43" w:type="dxa"/>
                  </w:tcMar>
                </w:tcPr>
                <w:p w14:paraId="6416FC11" w14:textId="51939FC5" w:rsidR="00CD046A" w:rsidRPr="00DB4FA1" w:rsidRDefault="00CD046A" w:rsidP="00CD046A">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630" w:type="dxa"/>
                  <w:tcMar>
                    <w:left w:w="43" w:type="dxa"/>
                    <w:right w:w="43" w:type="dxa"/>
                  </w:tcMar>
                  <w:vAlign w:val="bottom"/>
                </w:tcPr>
                <w:p w14:paraId="60D10738" w14:textId="3CD48EE2" w:rsidR="00CD046A" w:rsidRPr="00DB4FA1" w:rsidRDefault="00CD046A" w:rsidP="0078418B">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630" w:type="dxa"/>
                  <w:tcMar>
                    <w:left w:w="43" w:type="dxa"/>
                    <w:right w:w="43" w:type="dxa"/>
                  </w:tcMar>
                  <w:vAlign w:val="bottom"/>
                </w:tcPr>
                <w:p w14:paraId="5140ABC9" w14:textId="6068AEAF" w:rsidR="00CD046A" w:rsidRPr="00DB4FA1" w:rsidRDefault="00CD046A" w:rsidP="0078418B">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631" w:type="dxa"/>
                  <w:tcMar>
                    <w:left w:w="43" w:type="dxa"/>
                    <w:right w:w="43" w:type="dxa"/>
                  </w:tcMar>
                  <w:vAlign w:val="bottom"/>
                </w:tcPr>
                <w:p w14:paraId="6DFF2B34" w14:textId="52315F8A" w:rsidR="00CD046A" w:rsidRPr="00DB4FA1" w:rsidRDefault="00CD046A" w:rsidP="0078418B">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630" w:type="dxa"/>
                  <w:tcMar>
                    <w:left w:w="43" w:type="dxa"/>
                    <w:right w:w="43" w:type="dxa"/>
                  </w:tcMar>
                  <w:vAlign w:val="bottom"/>
                </w:tcPr>
                <w:p w14:paraId="0519D73D" w14:textId="29E7DCED" w:rsidR="00CD046A" w:rsidRPr="00DB4FA1" w:rsidRDefault="00CD046A" w:rsidP="0078418B">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631" w:type="dxa"/>
                  <w:tcMar>
                    <w:left w:w="43" w:type="dxa"/>
                    <w:right w:w="43" w:type="dxa"/>
                  </w:tcMar>
                  <w:vAlign w:val="bottom"/>
                </w:tcPr>
                <w:p w14:paraId="4E0ED086" w14:textId="239BBB57" w:rsidR="00CD046A" w:rsidRPr="00DB4FA1" w:rsidRDefault="00CD046A" w:rsidP="0078418B">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630" w:type="dxa"/>
                  <w:tcMar>
                    <w:left w:w="43" w:type="dxa"/>
                    <w:right w:w="43" w:type="dxa"/>
                  </w:tcMar>
                  <w:vAlign w:val="bottom"/>
                </w:tcPr>
                <w:p w14:paraId="694B664E" w14:textId="3FBBC3D6" w:rsidR="00CD046A" w:rsidRPr="00DB4FA1" w:rsidRDefault="00CD046A" w:rsidP="0078418B">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720" w:type="dxa"/>
                  <w:tcMar>
                    <w:left w:w="43" w:type="dxa"/>
                    <w:right w:w="43" w:type="dxa"/>
                  </w:tcMar>
                  <w:vAlign w:val="bottom"/>
                </w:tcPr>
                <w:p w14:paraId="5D88BA7F" w14:textId="49B2AB3B" w:rsidR="00CD046A" w:rsidRPr="00DB4FA1" w:rsidRDefault="00CD046A" w:rsidP="0078418B">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630" w:type="dxa"/>
                  <w:tcMar>
                    <w:left w:w="43" w:type="dxa"/>
                    <w:right w:w="43" w:type="dxa"/>
                  </w:tcMar>
                  <w:vAlign w:val="bottom"/>
                </w:tcPr>
                <w:p w14:paraId="124B9ACF" w14:textId="4A2EA7B6" w:rsidR="00CD046A" w:rsidRPr="00DB4FA1" w:rsidRDefault="00CD046A" w:rsidP="0078418B">
                  <w:pPr>
                    <w:spacing w:before="120"/>
                    <w:jc w:val="center"/>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630" w:type="dxa"/>
                  <w:tcMar>
                    <w:left w:w="43" w:type="dxa"/>
                    <w:right w:w="43" w:type="dxa"/>
                  </w:tcMar>
                  <w:vAlign w:val="bottom"/>
                </w:tcPr>
                <w:p w14:paraId="0331DD7E" w14:textId="5333ECFF" w:rsidR="00CD046A" w:rsidRPr="00DB4FA1" w:rsidRDefault="00CD046A" w:rsidP="0078418B">
                  <w:pPr>
                    <w:spacing w:before="120"/>
                    <w:jc w:val="center"/>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967" w:type="dxa"/>
                  <w:tcMar>
                    <w:left w:w="43" w:type="dxa"/>
                    <w:right w:w="43" w:type="dxa"/>
                  </w:tcMar>
                  <w:vAlign w:val="bottom"/>
                </w:tcPr>
                <w:p w14:paraId="454AEB95" w14:textId="4FFCFD5A" w:rsidR="00CD046A" w:rsidRPr="00DB4FA1" w:rsidRDefault="00CD046A" w:rsidP="0078418B">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968" w:type="dxa"/>
                  <w:tcMar>
                    <w:left w:w="43" w:type="dxa"/>
                    <w:right w:w="43" w:type="dxa"/>
                  </w:tcMar>
                  <w:vAlign w:val="bottom"/>
                </w:tcPr>
                <w:p w14:paraId="40A5B5C8" w14:textId="5D691595" w:rsidR="00CD046A" w:rsidRPr="00DB4FA1" w:rsidRDefault="00CD046A" w:rsidP="0078418B">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r>
            <w:tr w:rsidR="0078418B" w:rsidRPr="00DB4FA1" w14:paraId="4C33BF37" w14:textId="303B82B6" w:rsidTr="0078418B">
              <w:trPr>
                <w:jc w:val="center"/>
              </w:trPr>
              <w:tc>
                <w:tcPr>
                  <w:tcW w:w="240" w:type="dxa"/>
                  <w:tcBorders>
                    <w:top w:val="nil"/>
                    <w:bottom w:val="nil"/>
                    <w:right w:val="nil"/>
                  </w:tcBorders>
                  <w:tcMar>
                    <w:left w:w="43" w:type="dxa"/>
                    <w:right w:w="43" w:type="dxa"/>
                  </w:tcMar>
                </w:tcPr>
                <w:p w14:paraId="32979564" w14:textId="77777777" w:rsidR="00CD046A" w:rsidRPr="00DB4FA1" w:rsidRDefault="00CD046A" w:rsidP="00CD046A">
                  <w:pPr>
                    <w:spacing w:before="120"/>
                    <w:rPr>
                      <w:rFonts w:cs="Arial"/>
                      <w:sz w:val="16"/>
                      <w:szCs w:val="16"/>
                    </w:rPr>
                  </w:pPr>
                </w:p>
              </w:tc>
              <w:tc>
                <w:tcPr>
                  <w:tcW w:w="720" w:type="dxa"/>
                  <w:tcBorders>
                    <w:top w:val="single" w:sz="2" w:space="0" w:color="auto"/>
                    <w:left w:val="nil"/>
                  </w:tcBorders>
                  <w:tcMar>
                    <w:left w:w="43" w:type="dxa"/>
                    <w:right w:w="43" w:type="dxa"/>
                  </w:tcMar>
                </w:tcPr>
                <w:p w14:paraId="7C4AE93A" w14:textId="73A37F91" w:rsidR="00CD046A" w:rsidRPr="00DB4FA1" w:rsidRDefault="00E93749" w:rsidP="00CD046A">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1888" w:type="dxa"/>
                  <w:tcMar>
                    <w:left w:w="43" w:type="dxa"/>
                    <w:right w:w="43" w:type="dxa"/>
                  </w:tcMar>
                </w:tcPr>
                <w:p w14:paraId="60E25659" w14:textId="716F38B6" w:rsidR="00CD046A" w:rsidRPr="00DB4FA1" w:rsidRDefault="00CD046A" w:rsidP="00CD046A">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630" w:type="dxa"/>
                  <w:tcMar>
                    <w:left w:w="43" w:type="dxa"/>
                    <w:right w:w="43" w:type="dxa"/>
                  </w:tcMar>
                  <w:vAlign w:val="bottom"/>
                </w:tcPr>
                <w:p w14:paraId="66176CF8" w14:textId="09AB83A5" w:rsidR="00CD046A" w:rsidRPr="00DB4FA1" w:rsidRDefault="00CD046A" w:rsidP="0078418B">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630" w:type="dxa"/>
                  <w:tcMar>
                    <w:left w:w="43" w:type="dxa"/>
                    <w:right w:w="43" w:type="dxa"/>
                  </w:tcMar>
                  <w:vAlign w:val="bottom"/>
                </w:tcPr>
                <w:p w14:paraId="78EFCC7B" w14:textId="2B024F56" w:rsidR="00CD046A" w:rsidRPr="00DB4FA1" w:rsidRDefault="00CD046A" w:rsidP="0078418B">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631" w:type="dxa"/>
                  <w:tcMar>
                    <w:left w:w="43" w:type="dxa"/>
                    <w:right w:w="43" w:type="dxa"/>
                  </w:tcMar>
                  <w:vAlign w:val="bottom"/>
                </w:tcPr>
                <w:p w14:paraId="59B5F079" w14:textId="4B2B19CF" w:rsidR="00CD046A" w:rsidRPr="00DB4FA1" w:rsidRDefault="00CD046A" w:rsidP="0078418B">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630" w:type="dxa"/>
                  <w:tcMar>
                    <w:left w:w="43" w:type="dxa"/>
                    <w:right w:w="43" w:type="dxa"/>
                  </w:tcMar>
                  <w:vAlign w:val="bottom"/>
                </w:tcPr>
                <w:p w14:paraId="30648D79" w14:textId="3F134A03" w:rsidR="00CD046A" w:rsidRPr="00DB4FA1" w:rsidRDefault="00CD046A" w:rsidP="0078418B">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631" w:type="dxa"/>
                  <w:tcMar>
                    <w:left w:w="43" w:type="dxa"/>
                    <w:right w:w="43" w:type="dxa"/>
                  </w:tcMar>
                  <w:vAlign w:val="bottom"/>
                </w:tcPr>
                <w:p w14:paraId="2BBC61BA" w14:textId="3CDFE45B" w:rsidR="00CD046A" w:rsidRPr="00DB4FA1" w:rsidRDefault="00CD046A" w:rsidP="0078418B">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630" w:type="dxa"/>
                  <w:tcMar>
                    <w:left w:w="43" w:type="dxa"/>
                    <w:right w:w="43" w:type="dxa"/>
                  </w:tcMar>
                  <w:vAlign w:val="bottom"/>
                </w:tcPr>
                <w:p w14:paraId="0C3F16E1" w14:textId="2154AC7B" w:rsidR="00CD046A" w:rsidRPr="00DB4FA1" w:rsidRDefault="00CD046A" w:rsidP="0078418B">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720" w:type="dxa"/>
                  <w:tcMar>
                    <w:left w:w="43" w:type="dxa"/>
                    <w:right w:w="43" w:type="dxa"/>
                  </w:tcMar>
                  <w:vAlign w:val="bottom"/>
                </w:tcPr>
                <w:p w14:paraId="5B17F5A0" w14:textId="665FDA50" w:rsidR="00CD046A" w:rsidRPr="00DB4FA1" w:rsidRDefault="00CD046A" w:rsidP="0078418B">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630" w:type="dxa"/>
                  <w:tcMar>
                    <w:left w:w="43" w:type="dxa"/>
                    <w:right w:w="43" w:type="dxa"/>
                  </w:tcMar>
                  <w:vAlign w:val="bottom"/>
                </w:tcPr>
                <w:p w14:paraId="0BF35A30" w14:textId="7AE4C0FD" w:rsidR="00CD046A" w:rsidRPr="00DB4FA1" w:rsidRDefault="00CD046A" w:rsidP="0078418B">
                  <w:pPr>
                    <w:spacing w:before="120"/>
                    <w:jc w:val="center"/>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630" w:type="dxa"/>
                  <w:tcMar>
                    <w:left w:w="43" w:type="dxa"/>
                    <w:right w:w="43" w:type="dxa"/>
                  </w:tcMar>
                  <w:vAlign w:val="bottom"/>
                </w:tcPr>
                <w:p w14:paraId="5D13B6DE" w14:textId="0A17DAA4" w:rsidR="00CD046A" w:rsidRPr="00DB4FA1" w:rsidRDefault="00CD046A" w:rsidP="0078418B">
                  <w:pPr>
                    <w:spacing w:before="120"/>
                    <w:jc w:val="center"/>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967" w:type="dxa"/>
                  <w:tcMar>
                    <w:left w:w="43" w:type="dxa"/>
                    <w:right w:w="43" w:type="dxa"/>
                  </w:tcMar>
                  <w:vAlign w:val="bottom"/>
                </w:tcPr>
                <w:p w14:paraId="39D99035" w14:textId="379043E2" w:rsidR="00CD046A" w:rsidRPr="00DB4FA1" w:rsidRDefault="00CD046A" w:rsidP="0078418B">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c>
                <w:tcPr>
                  <w:tcW w:w="968" w:type="dxa"/>
                  <w:tcMar>
                    <w:left w:w="43" w:type="dxa"/>
                    <w:right w:w="43" w:type="dxa"/>
                  </w:tcMar>
                  <w:vAlign w:val="bottom"/>
                </w:tcPr>
                <w:p w14:paraId="76125DC6" w14:textId="236DD830" w:rsidR="00CD046A" w:rsidRPr="00DB4FA1" w:rsidRDefault="00CD046A" w:rsidP="0078418B">
                  <w:pPr>
                    <w:spacing w:before="120"/>
                    <w:rPr>
                      <w:rFonts w:cs="Arial"/>
                      <w:sz w:val="16"/>
                      <w:szCs w:val="16"/>
                    </w:rPr>
                  </w:pPr>
                  <w:r w:rsidRPr="00DB4FA1">
                    <w:rPr>
                      <w:rFonts w:cs="Arial"/>
                      <w:sz w:val="16"/>
                      <w:szCs w:val="16"/>
                    </w:rPr>
                    <w:fldChar w:fldCharType="begin">
                      <w:ffData>
                        <w:name w:val=""/>
                        <w:enabled/>
                        <w:calcOnExit w:val="0"/>
                        <w:textInput/>
                      </w:ffData>
                    </w:fldChar>
                  </w:r>
                  <w:r w:rsidRPr="00DB4FA1">
                    <w:rPr>
                      <w:rFonts w:cs="Arial"/>
                      <w:sz w:val="16"/>
                      <w:szCs w:val="16"/>
                    </w:rPr>
                    <w:instrText xml:space="preserve"> FORMTEXT </w:instrText>
                  </w:r>
                  <w:r w:rsidRPr="00DB4FA1">
                    <w:rPr>
                      <w:rFonts w:cs="Arial"/>
                      <w:sz w:val="16"/>
                      <w:szCs w:val="16"/>
                    </w:rPr>
                  </w:r>
                  <w:r w:rsidRPr="00DB4FA1">
                    <w:rPr>
                      <w:rFonts w:cs="Arial"/>
                      <w:sz w:val="16"/>
                      <w:szCs w:val="16"/>
                    </w:rPr>
                    <w:fldChar w:fldCharType="separate"/>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noProof/>
                      <w:sz w:val="16"/>
                      <w:szCs w:val="16"/>
                    </w:rPr>
                    <w:t> </w:t>
                  </w:r>
                  <w:r w:rsidRPr="00DB4FA1">
                    <w:rPr>
                      <w:rFonts w:cs="Arial"/>
                      <w:sz w:val="16"/>
                      <w:szCs w:val="16"/>
                    </w:rPr>
                    <w:fldChar w:fldCharType="end"/>
                  </w:r>
                </w:p>
              </w:tc>
            </w:tr>
          </w:tbl>
          <w:p w14:paraId="59855D29" w14:textId="1106CBAE" w:rsidR="00530BE0" w:rsidRPr="007110CE" w:rsidRDefault="00530BE0" w:rsidP="00DB4FA1">
            <w:pPr>
              <w:pStyle w:val="Form-Bodytext1"/>
              <w:spacing w:before="60"/>
              <w:ind w:left="460"/>
            </w:pPr>
          </w:p>
        </w:tc>
      </w:tr>
    </w:tbl>
    <w:p w14:paraId="4BB049FB" w14:textId="77777777" w:rsidR="0099017A" w:rsidRPr="0099017A" w:rsidRDefault="0099017A">
      <w:pPr>
        <w:rPr>
          <w:sz w:val="8"/>
          <w:szCs w:val="8"/>
        </w:rPr>
      </w:pPr>
    </w:p>
    <w:tbl>
      <w:tblPr>
        <w:tblStyle w:val="TableGrid"/>
        <w:tblW w:w="10714" w:type="dxa"/>
        <w:tblInd w:w="-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10714"/>
      </w:tblGrid>
      <w:tr w:rsidR="00B527F9" w:rsidRPr="007110CE" w14:paraId="59875134" w14:textId="77777777" w:rsidTr="0099017A">
        <w:tc>
          <w:tcPr>
            <w:tcW w:w="10714" w:type="dxa"/>
          </w:tcPr>
          <w:p w14:paraId="2FE7FDE5" w14:textId="6C86838F" w:rsidR="00C65482" w:rsidRDefault="00C65482" w:rsidP="00F12A3E">
            <w:pPr>
              <w:pStyle w:val="Form-Bodytext1"/>
              <w:numPr>
                <w:ilvl w:val="0"/>
                <w:numId w:val="16"/>
              </w:numPr>
              <w:spacing w:before="160"/>
              <w:ind w:left="360"/>
            </w:pPr>
            <w:r w:rsidRPr="00C65482">
              <w:t xml:space="preserve">For the monitored pollutant, were total facility actual emissions greater than or equal to 80% of the permit allowable potential to emit? Include a comparison of total facility actual and limited potential emissions in the table below. Include all supporting information such as editable limited </w:t>
            </w:r>
            <w:r w:rsidR="00342B17">
              <w:t>potential</w:t>
            </w:r>
            <w:r w:rsidR="00605254">
              <w:t>-</w:t>
            </w:r>
            <w:r w:rsidR="00342B17">
              <w:t>to</w:t>
            </w:r>
            <w:r w:rsidR="00605254">
              <w:t>-</w:t>
            </w:r>
            <w:r w:rsidR="00342B17">
              <w:t>emit</w:t>
            </w:r>
            <w:r w:rsidRPr="00C65482">
              <w:t xml:space="preserve"> spreadsheets and emissions inventory data as attachments to this application.</w:t>
            </w:r>
          </w:p>
          <w:p w14:paraId="1B110820" w14:textId="77777777" w:rsidR="00F12A3E" w:rsidRDefault="00F12A3E" w:rsidP="00F12A3E">
            <w:pPr>
              <w:pStyle w:val="Form-Bodytext1"/>
              <w:spacing w:before="60"/>
              <w:ind w:left="360"/>
            </w:pPr>
            <w:r w:rsidRPr="007110CE">
              <w:fldChar w:fldCharType="begin">
                <w:ffData>
                  <w:name w:val="Check1"/>
                  <w:enabled/>
                  <w:calcOnExit w:val="0"/>
                  <w:checkBox>
                    <w:sizeAuto/>
                    <w:default w:val="0"/>
                  </w:checkBox>
                </w:ffData>
              </w:fldChar>
            </w:r>
            <w:r w:rsidRPr="007110CE">
              <w:instrText xml:space="preserve"> FORMCHECKBOX </w:instrText>
            </w:r>
            <w:r w:rsidR="005B6E3F">
              <w:fldChar w:fldCharType="separate"/>
            </w:r>
            <w:r w:rsidRPr="007110CE">
              <w:fldChar w:fldCharType="end"/>
            </w:r>
            <w:r w:rsidRPr="007110CE">
              <w:t xml:space="preserve"> Yes</w:t>
            </w:r>
            <w:r>
              <w:t>.</w:t>
            </w:r>
          </w:p>
          <w:p w14:paraId="7F71F3B1" w14:textId="12C99027" w:rsidR="00F12A3E" w:rsidRDefault="00F12A3E" w:rsidP="00F12A3E">
            <w:pPr>
              <w:pStyle w:val="Form-Bodytext1"/>
              <w:spacing w:before="60"/>
              <w:ind w:left="360"/>
            </w:pPr>
            <w:r w:rsidRPr="007110CE">
              <w:fldChar w:fldCharType="begin">
                <w:ffData>
                  <w:name w:val="Check2"/>
                  <w:enabled/>
                  <w:calcOnExit w:val="0"/>
                  <w:checkBox>
                    <w:sizeAuto/>
                    <w:default w:val="0"/>
                  </w:checkBox>
                </w:ffData>
              </w:fldChar>
            </w:r>
            <w:r w:rsidRPr="007110CE">
              <w:instrText xml:space="preserve"> FORMCHECKBOX </w:instrText>
            </w:r>
            <w:r w:rsidR="005B6E3F">
              <w:fldChar w:fldCharType="separate"/>
            </w:r>
            <w:r w:rsidRPr="007110CE">
              <w:fldChar w:fldCharType="end"/>
            </w:r>
            <w:r w:rsidRPr="007110CE">
              <w:t xml:space="preserve"> </w:t>
            </w:r>
            <w:r w:rsidRPr="006866F8">
              <w:t>No</w:t>
            </w:r>
            <w:r>
              <w:t>.</w:t>
            </w:r>
          </w:p>
          <w:p w14:paraId="34C7E712" w14:textId="77777777" w:rsidR="00F12A3E" w:rsidRPr="007110CE" w:rsidRDefault="00F12A3E" w:rsidP="009E7CC4">
            <w:pPr>
              <w:pStyle w:val="Form-Bodytext1"/>
              <w:ind w:left="360"/>
            </w:pPr>
            <w:r>
              <w:t>If no, p</w:t>
            </w:r>
            <w:r w:rsidRPr="006866F8">
              <w:t xml:space="preserve">lease describe and propose operational or other limits (with supporting monitoring and recordkeeping) that will reduce total facility limited potential-to-emit to be within 20% of total facility actual emissions for the monitored pollutant. Refer to the MPCA website at </w:t>
            </w:r>
            <w:hyperlink r:id="rId10" w:history="1">
              <w:r w:rsidRPr="006866F8">
                <w:rPr>
                  <w:rStyle w:val="Hyperlink"/>
                </w:rPr>
                <w:t>https://www.pca.state.mn.us/air/synthetic-minor-permit-limits</w:t>
              </w:r>
            </w:hyperlink>
            <w:r w:rsidRPr="006866F8">
              <w:t xml:space="preserve"> for information on determining and proposing limits. If actual emissions are unknown and have not been calculated for emissions inventory purposes, please provide an estimate based on actual operational conditions during the years monitored. </w:t>
            </w:r>
            <w:r>
              <w:t>Attach</w:t>
            </w:r>
            <w:r w:rsidRPr="006866F8">
              <w:t xml:space="preserve"> all supporting information.</w:t>
            </w:r>
          </w:p>
          <w:p w14:paraId="59ABF44C" w14:textId="52E78D75" w:rsidR="00F12A3E" w:rsidRDefault="00F12A3E" w:rsidP="009E7CC4">
            <w:pPr>
              <w:pStyle w:val="Form-Bodytext1"/>
              <w:spacing w:before="60" w:after="120"/>
              <w:ind w:left="360"/>
            </w:pPr>
            <w:r w:rsidRPr="00BC7062">
              <w:fldChar w:fldCharType="begin">
                <w:ffData>
                  <w:name w:val="Text275"/>
                  <w:enabled/>
                  <w:calcOnExit w:val="0"/>
                  <w:textInput/>
                </w:ffData>
              </w:fldChar>
            </w:r>
            <w:bookmarkStart w:id="1" w:name="Text275"/>
            <w:r w:rsidRPr="00BC7062">
              <w:instrText xml:space="preserve"> FORMTEXT </w:instrText>
            </w:r>
            <w:r w:rsidRPr="00BC7062">
              <w:fldChar w:fldCharType="separate"/>
            </w:r>
            <w:r w:rsidRPr="00BC7062">
              <w:rPr>
                <w:noProof/>
              </w:rPr>
              <w:t> </w:t>
            </w:r>
            <w:r w:rsidRPr="00BC7062">
              <w:rPr>
                <w:noProof/>
              </w:rPr>
              <w:t> </w:t>
            </w:r>
            <w:r w:rsidRPr="00BC7062">
              <w:rPr>
                <w:noProof/>
              </w:rPr>
              <w:t> </w:t>
            </w:r>
            <w:r w:rsidRPr="00BC7062">
              <w:rPr>
                <w:noProof/>
              </w:rPr>
              <w:t> </w:t>
            </w:r>
            <w:r w:rsidRPr="00BC7062">
              <w:rPr>
                <w:noProof/>
              </w:rPr>
              <w:t> </w:t>
            </w:r>
            <w:r w:rsidRPr="00BC7062">
              <w:fldChar w:fldCharType="end"/>
            </w:r>
            <w:bookmarkEnd w:id="1"/>
          </w:p>
          <w:tbl>
            <w:tblPr>
              <w:tblW w:w="7954" w:type="dxa"/>
              <w:jc w:val="center"/>
              <w:tblBorders>
                <w:bottom w:val="single" w:sz="2" w:space="0" w:color="auto"/>
                <w:insideH w:val="single" w:sz="2" w:space="0" w:color="auto"/>
                <w:insideV w:val="single" w:sz="2" w:space="0" w:color="auto"/>
              </w:tblBorders>
              <w:tblLayout w:type="fixed"/>
              <w:tblLook w:val="0000" w:firstRow="0" w:lastRow="0" w:firstColumn="0" w:lastColumn="0" w:noHBand="0" w:noVBand="0"/>
            </w:tblPr>
            <w:tblGrid>
              <w:gridCol w:w="2104"/>
              <w:gridCol w:w="1170"/>
              <w:gridCol w:w="1170"/>
              <w:gridCol w:w="1170"/>
              <w:gridCol w:w="1170"/>
              <w:gridCol w:w="1170"/>
            </w:tblGrid>
            <w:tr w:rsidR="0078418B" w:rsidRPr="0078418B" w14:paraId="31E95796" w14:textId="77777777" w:rsidTr="0078418B">
              <w:trPr>
                <w:trHeight w:val="189"/>
                <w:jc w:val="center"/>
              </w:trPr>
              <w:tc>
                <w:tcPr>
                  <w:tcW w:w="2104" w:type="dxa"/>
                  <w:vAlign w:val="bottom"/>
                </w:tcPr>
                <w:p w14:paraId="0853C651" w14:textId="30220553" w:rsidR="0078418B" w:rsidRPr="0078418B" w:rsidRDefault="0078418B" w:rsidP="0078418B">
                  <w:pPr>
                    <w:rPr>
                      <w:rFonts w:cs="Arial"/>
                      <w:sz w:val="16"/>
                      <w:szCs w:val="16"/>
                    </w:rPr>
                  </w:pPr>
                </w:p>
              </w:tc>
              <w:tc>
                <w:tcPr>
                  <w:tcW w:w="1170" w:type="dxa"/>
                  <w:vAlign w:val="bottom"/>
                </w:tcPr>
                <w:p w14:paraId="10EBBAB7" w14:textId="192824F2" w:rsidR="0078418B" w:rsidRPr="0078418B" w:rsidRDefault="0078418B" w:rsidP="00C27F99">
                  <w:pPr>
                    <w:jc w:val="center"/>
                    <w:rPr>
                      <w:rFonts w:cs="Arial"/>
                      <w:b/>
                      <w:bCs/>
                      <w:sz w:val="16"/>
                      <w:szCs w:val="16"/>
                    </w:rPr>
                  </w:pPr>
                  <w:r w:rsidRPr="0078418B">
                    <w:rPr>
                      <w:rFonts w:cs="Arial"/>
                      <w:b/>
                      <w:bCs/>
                      <w:sz w:val="16"/>
                      <w:szCs w:val="16"/>
                    </w:rPr>
                    <w:t>Monitoring Year 1</w:t>
                  </w:r>
                </w:p>
              </w:tc>
              <w:tc>
                <w:tcPr>
                  <w:tcW w:w="1170" w:type="dxa"/>
                  <w:vAlign w:val="bottom"/>
                </w:tcPr>
                <w:p w14:paraId="3E66B52E" w14:textId="013D1AC5" w:rsidR="0078418B" w:rsidRPr="0078418B" w:rsidRDefault="0078418B" w:rsidP="00C27F99">
                  <w:pPr>
                    <w:jc w:val="center"/>
                    <w:rPr>
                      <w:rFonts w:cs="Arial"/>
                      <w:b/>
                      <w:bCs/>
                      <w:sz w:val="16"/>
                      <w:szCs w:val="16"/>
                    </w:rPr>
                  </w:pPr>
                  <w:r w:rsidRPr="0078418B">
                    <w:rPr>
                      <w:rFonts w:cs="Arial"/>
                      <w:b/>
                      <w:bCs/>
                      <w:sz w:val="16"/>
                      <w:szCs w:val="16"/>
                    </w:rPr>
                    <w:t>Monitoring Year 2</w:t>
                  </w:r>
                </w:p>
              </w:tc>
              <w:tc>
                <w:tcPr>
                  <w:tcW w:w="1170" w:type="dxa"/>
                  <w:vAlign w:val="bottom"/>
                </w:tcPr>
                <w:p w14:paraId="24A27F1C" w14:textId="381DC125" w:rsidR="0078418B" w:rsidRPr="0078418B" w:rsidRDefault="0078418B" w:rsidP="00C27F99">
                  <w:pPr>
                    <w:jc w:val="center"/>
                    <w:rPr>
                      <w:rFonts w:cs="Arial"/>
                      <w:b/>
                      <w:bCs/>
                      <w:sz w:val="16"/>
                      <w:szCs w:val="16"/>
                    </w:rPr>
                  </w:pPr>
                  <w:r w:rsidRPr="0078418B">
                    <w:rPr>
                      <w:rFonts w:cs="Arial"/>
                      <w:b/>
                      <w:bCs/>
                      <w:sz w:val="16"/>
                      <w:szCs w:val="16"/>
                    </w:rPr>
                    <w:t>Monitoring Year 3</w:t>
                  </w:r>
                </w:p>
              </w:tc>
              <w:tc>
                <w:tcPr>
                  <w:tcW w:w="1170" w:type="dxa"/>
                  <w:vAlign w:val="bottom"/>
                </w:tcPr>
                <w:p w14:paraId="169D65D4" w14:textId="318E0681" w:rsidR="0078418B" w:rsidRPr="0078418B" w:rsidRDefault="0078418B" w:rsidP="00C27F99">
                  <w:pPr>
                    <w:jc w:val="center"/>
                    <w:rPr>
                      <w:rFonts w:cs="Arial"/>
                      <w:b/>
                      <w:bCs/>
                      <w:sz w:val="16"/>
                      <w:szCs w:val="16"/>
                    </w:rPr>
                  </w:pPr>
                  <w:r w:rsidRPr="0078418B">
                    <w:rPr>
                      <w:rFonts w:cs="Arial"/>
                      <w:b/>
                      <w:bCs/>
                      <w:sz w:val="16"/>
                      <w:szCs w:val="16"/>
                    </w:rPr>
                    <w:t>Monitoring Year 4</w:t>
                  </w:r>
                </w:p>
              </w:tc>
              <w:tc>
                <w:tcPr>
                  <w:tcW w:w="1170" w:type="dxa"/>
                  <w:vAlign w:val="bottom"/>
                </w:tcPr>
                <w:p w14:paraId="7FF6961A" w14:textId="620B5519" w:rsidR="0078418B" w:rsidRPr="0078418B" w:rsidRDefault="0078418B" w:rsidP="00C27F99">
                  <w:pPr>
                    <w:jc w:val="center"/>
                    <w:rPr>
                      <w:rFonts w:cs="Arial"/>
                      <w:b/>
                      <w:bCs/>
                      <w:sz w:val="16"/>
                      <w:szCs w:val="16"/>
                    </w:rPr>
                  </w:pPr>
                  <w:r w:rsidRPr="0078418B">
                    <w:rPr>
                      <w:rFonts w:cs="Arial"/>
                      <w:b/>
                      <w:bCs/>
                      <w:sz w:val="16"/>
                      <w:szCs w:val="16"/>
                    </w:rPr>
                    <w:t>Monitoring Year 5</w:t>
                  </w:r>
                </w:p>
              </w:tc>
            </w:tr>
            <w:tr w:rsidR="0078418B" w:rsidRPr="0078418B" w14:paraId="22263396" w14:textId="77777777" w:rsidTr="0078418B">
              <w:trPr>
                <w:trHeight w:val="53"/>
                <w:jc w:val="center"/>
              </w:trPr>
              <w:tc>
                <w:tcPr>
                  <w:tcW w:w="2104" w:type="dxa"/>
                  <w:vAlign w:val="center"/>
                </w:tcPr>
                <w:p w14:paraId="113C7F8F" w14:textId="2F9A2B72" w:rsidR="0078418B" w:rsidRPr="0078418B" w:rsidRDefault="0078418B" w:rsidP="0078418B">
                  <w:pPr>
                    <w:spacing w:before="60" w:after="20"/>
                    <w:rPr>
                      <w:rFonts w:cs="Arial"/>
                      <w:b/>
                      <w:bCs/>
                      <w:sz w:val="16"/>
                      <w:szCs w:val="16"/>
                    </w:rPr>
                  </w:pPr>
                  <w:r w:rsidRPr="0078418B">
                    <w:rPr>
                      <w:rFonts w:cs="Arial"/>
                      <w:b/>
                      <w:bCs/>
                      <w:sz w:val="16"/>
                      <w:szCs w:val="16"/>
                    </w:rPr>
                    <w:t>Total Facility Actual Emissions (tpy)</w:t>
                  </w:r>
                </w:p>
              </w:tc>
              <w:tc>
                <w:tcPr>
                  <w:tcW w:w="1170" w:type="dxa"/>
                </w:tcPr>
                <w:p w14:paraId="58F640FA" w14:textId="77777777" w:rsidR="0078418B" w:rsidRPr="0078418B" w:rsidRDefault="0078418B" w:rsidP="00C27F99">
                  <w:pPr>
                    <w:spacing w:before="60"/>
                    <w:jc w:val="center"/>
                    <w:rPr>
                      <w:rFonts w:cs="Arial"/>
                      <w:sz w:val="16"/>
                      <w:szCs w:val="16"/>
                    </w:rPr>
                  </w:pPr>
                  <w:r w:rsidRPr="0078418B">
                    <w:rPr>
                      <w:rFonts w:cs="Arial"/>
                      <w:sz w:val="16"/>
                      <w:szCs w:val="16"/>
                    </w:rPr>
                    <w:fldChar w:fldCharType="begin">
                      <w:ffData>
                        <w:name w:val=""/>
                        <w:enabled/>
                        <w:calcOnExit w:val="0"/>
                        <w:textInput/>
                      </w:ffData>
                    </w:fldChar>
                  </w:r>
                  <w:r w:rsidRPr="0078418B">
                    <w:rPr>
                      <w:rFonts w:cs="Arial"/>
                      <w:sz w:val="16"/>
                      <w:szCs w:val="16"/>
                    </w:rPr>
                    <w:instrText xml:space="preserve"> FORMTEXT </w:instrText>
                  </w:r>
                  <w:r w:rsidRPr="0078418B">
                    <w:rPr>
                      <w:rFonts w:cs="Arial"/>
                      <w:sz w:val="16"/>
                      <w:szCs w:val="16"/>
                    </w:rPr>
                  </w:r>
                  <w:r w:rsidRPr="0078418B">
                    <w:rPr>
                      <w:rFonts w:cs="Arial"/>
                      <w:sz w:val="16"/>
                      <w:szCs w:val="16"/>
                    </w:rPr>
                    <w:fldChar w:fldCharType="separate"/>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sz w:val="16"/>
                      <w:szCs w:val="16"/>
                    </w:rPr>
                    <w:fldChar w:fldCharType="end"/>
                  </w:r>
                </w:p>
              </w:tc>
              <w:tc>
                <w:tcPr>
                  <w:tcW w:w="1170" w:type="dxa"/>
                </w:tcPr>
                <w:p w14:paraId="7A27A137" w14:textId="77777777" w:rsidR="0078418B" w:rsidRPr="0078418B" w:rsidRDefault="0078418B" w:rsidP="00C27F99">
                  <w:pPr>
                    <w:spacing w:before="60"/>
                    <w:jc w:val="center"/>
                    <w:rPr>
                      <w:rFonts w:cs="Arial"/>
                      <w:sz w:val="16"/>
                      <w:szCs w:val="16"/>
                    </w:rPr>
                  </w:pPr>
                  <w:r w:rsidRPr="0078418B">
                    <w:rPr>
                      <w:rFonts w:cs="Arial"/>
                      <w:sz w:val="16"/>
                      <w:szCs w:val="16"/>
                    </w:rPr>
                    <w:fldChar w:fldCharType="begin">
                      <w:ffData>
                        <w:name w:val=""/>
                        <w:enabled/>
                        <w:calcOnExit w:val="0"/>
                        <w:textInput>
                          <w:type w:val="number"/>
                        </w:textInput>
                      </w:ffData>
                    </w:fldChar>
                  </w:r>
                  <w:r w:rsidRPr="0078418B">
                    <w:rPr>
                      <w:rFonts w:cs="Arial"/>
                      <w:sz w:val="16"/>
                      <w:szCs w:val="16"/>
                    </w:rPr>
                    <w:instrText xml:space="preserve"> FORMTEXT </w:instrText>
                  </w:r>
                  <w:r w:rsidRPr="0078418B">
                    <w:rPr>
                      <w:rFonts w:cs="Arial"/>
                      <w:sz w:val="16"/>
                      <w:szCs w:val="16"/>
                    </w:rPr>
                  </w:r>
                  <w:r w:rsidRPr="0078418B">
                    <w:rPr>
                      <w:rFonts w:cs="Arial"/>
                      <w:sz w:val="16"/>
                      <w:szCs w:val="16"/>
                    </w:rPr>
                    <w:fldChar w:fldCharType="separate"/>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sz w:val="16"/>
                      <w:szCs w:val="16"/>
                    </w:rPr>
                    <w:fldChar w:fldCharType="end"/>
                  </w:r>
                </w:p>
              </w:tc>
              <w:tc>
                <w:tcPr>
                  <w:tcW w:w="1170" w:type="dxa"/>
                </w:tcPr>
                <w:p w14:paraId="73F4FC8B" w14:textId="2E5C7A22" w:rsidR="0078418B" w:rsidRPr="0078418B" w:rsidRDefault="0078418B" w:rsidP="00C27F99">
                  <w:pPr>
                    <w:spacing w:before="60"/>
                    <w:jc w:val="center"/>
                    <w:rPr>
                      <w:rFonts w:cs="Arial"/>
                      <w:sz w:val="16"/>
                      <w:szCs w:val="16"/>
                    </w:rPr>
                  </w:pPr>
                  <w:r w:rsidRPr="0078418B">
                    <w:rPr>
                      <w:rFonts w:cs="Arial"/>
                      <w:sz w:val="16"/>
                      <w:szCs w:val="16"/>
                    </w:rPr>
                    <w:fldChar w:fldCharType="begin">
                      <w:ffData>
                        <w:name w:val=""/>
                        <w:enabled/>
                        <w:calcOnExit w:val="0"/>
                        <w:textInput/>
                      </w:ffData>
                    </w:fldChar>
                  </w:r>
                  <w:r w:rsidRPr="0078418B">
                    <w:rPr>
                      <w:rFonts w:cs="Arial"/>
                      <w:sz w:val="16"/>
                      <w:szCs w:val="16"/>
                    </w:rPr>
                    <w:instrText xml:space="preserve"> FORMTEXT </w:instrText>
                  </w:r>
                  <w:r w:rsidRPr="0078418B">
                    <w:rPr>
                      <w:rFonts w:cs="Arial"/>
                      <w:sz w:val="16"/>
                      <w:szCs w:val="16"/>
                    </w:rPr>
                  </w:r>
                  <w:r w:rsidRPr="0078418B">
                    <w:rPr>
                      <w:rFonts w:cs="Arial"/>
                      <w:sz w:val="16"/>
                      <w:szCs w:val="16"/>
                    </w:rPr>
                    <w:fldChar w:fldCharType="separate"/>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sz w:val="16"/>
                      <w:szCs w:val="16"/>
                    </w:rPr>
                    <w:fldChar w:fldCharType="end"/>
                  </w:r>
                </w:p>
              </w:tc>
              <w:tc>
                <w:tcPr>
                  <w:tcW w:w="1170" w:type="dxa"/>
                </w:tcPr>
                <w:p w14:paraId="64595726" w14:textId="2CC64684" w:rsidR="0078418B" w:rsidRPr="0078418B" w:rsidRDefault="0078418B" w:rsidP="00C27F99">
                  <w:pPr>
                    <w:spacing w:before="60"/>
                    <w:jc w:val="center"/>
                    <w:rPr>
                      <w:rFonts w:cs="Arial"/>
                      <w:sz w:val="16"/>
                      <w:szCs w:val="16"/>
                    </w:rPr>
                  </w:pPr>
                  <w:r w:rsidRPr="0078418B">
                    <w:rPr>
                      <w:rFonts w:cs="Arial"/>
                      <w:sz w:val="16"/>
                      <w:szCs w:val="16"/>
                    </w:rPr>
                    <w:fldChar w:fldCharType="begin">
                      <w:ffData>
                        <w:name w:val=""/>
                        <w:enabled/>
                        <w:calcOnExit w:val="0"/>
                        <w:textInput/>
                      </w:ffData>
                    </w:fldChar>
                  </w:r>
                  <w:r w:rsidRPr="0078418B">
                    <w:rPr>
                      <w:rFonts w:cs="Arial"/>
                      <w:sz w:val="16"/>
                      <w:szCs w:val="16"/>
                    </w:rPr>
                    <w:instrText xml:space="preserve"> FORMTEXT </w:instrText>
                  </w:r>
                  <w:r w:rsidRPr="0078418B">
                    <w:rPr>
                      <w:rFonts w:cs="Arial"/>
                      <w:sz w:val="16"/>
                      <w:szCs w:val="16"/>
                    </w:rPr>
                  </w:r>
                  <w:r w:rsidRPr="0078418B">
                    <w:rPr>
                      <w:rFonts w:cs="Arial"/>
                      <w:sz w:val="16"/>
                      <w:szCs w:val="16"/>
                    </w:rPr>
                    <w:fldChar w:fldCharType="separate"/>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sz w:val="16"/>
                      <w:szCs w:val="16"/>
                    </w:rPr>
                    <w:fldChar w:fldCharType="end"/>
                  </w:r>
                </w:p>
              </w:tc>
              <w:tc>
                <w:tcPr>
                  <w:tcW w:w="1170" w:type="dxa"/>
                </w:tcPr>
                <w:p w14:paraId="6292507A" w14:textId="77777777" w:rsidR="0078418B" w:rsidRPr="0078418B" w:rsidRDefault="0078418B" w:rsidP="00C27F99">
                  <w:pPr>
                    <w:spacing w:before="60"/>
                    <w:jc w:val="center"/>
                    <w:rPr>
                      <w:rFonts w:cs="Arial"/>
                      <w:sz w:val="16"/>
                      <w:szCs w:val="16"/>
                    </w:rPr>
                  </w:pPr>
                  <w:r w:rsidRPr="0078418B">
                    <w:rPr>
                      <w:rFonts w:cs="Arial"/>
                      <w:sz w:val="16"/>
                      <w:szCs w:val="16"/>
                    </w:rPr>
                    <w:fldChar w:fldCharType="begin">
                      <w:ffData>
                        <w:name w:val=""/>
                        <w:enabled/>
                        <w:calcOnExit w:val="0"/>
                        <w:textInput/>
                      </w:ffData>
                    </w:fldChar>
                  </w:r>
                  <w:r w:rsidRPr="0078418B">
                    <w:rPr>
                      <w:rFonts w:cs="Arial"/>
                      <w:sz w:val="16"/>
                      <w:szCs w:val="16"/>
                    </w:rPr>
                    <w:instrText xml:space="preserve"> FORMTEXT </w:instrText>
                  </w:r>
                  <w:r w:rsidRPr="0078418B">
                    <w:rPr>
                      <w:rFonts w:cs="Arial"/>
                      <w:sz w:val="16"/>
                      <w:szCs w:val="16"/>
                    </w:rPr>
                  </w:r>
                  <w:r w:rsidRPr="0078418B">
                    <w:rPr>
                      <w:rFonts w:cs="Arial"/>
                      <w:sz w:val="16"/>
                      <w:szCs w:val="16"/>
                    </w:rPr>
                    <w:fldChar w:fldCharType="separate"/>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sz w:val="16"/>
                      <w:szCs w:val="16"/>
                    </w:rPr>
                    <w:fldChar w:fldCharType="end"/>
                  </w:r>
                </w:p>
              </w:tc>
            </w:tr>
            <w:tr w:rsidR="0078418B" w:rsidRPr="0078418B" w14:paraId="2836C74F" w14:textId="77777777" w:rsidTr="0078418B">
              <w:trPr>
                <w:trHeight w:val="53"/>
                <w:jc w:val="center"/>
              </w:trPr>
              <w:tc>
                <w:tcPr>
                  <w:tcW w:w="2104" w:type="dxa"/>
                  <w:vAlign w:val="center"/>
                </w:tcPr>
                <w:p w14:paraId="41AB0FFD" w14:textId="36834086" w:rsidR="0078418B" w:rsidRPr="0078418B" w:rsidRDefault="0078418B" w:rsidP="0078418B">
                  <w:pPr>
                    <w:spacing w:before="60" w:after="20"/>
                    <w:rPr>
                      <w:rFonts w:cs="Arial"/>
                      <w:b/>
                      <w:bCs/>
                      <w:sz w:val="16"/>
                      <w:szCs w:val="16"/>
                    </w:rPr>
                  </w:pPr>
                  <w:r w:rsidRPr="0078418B">
                    <w:rPr>
                      <w:rFonts w:cs="Arial"/>
                      <w:b/>
                      <w:bCs/>
                      <w:sz w:val="16"/>
                      <w:szCs w:val="16"/>
                    </w:rPr>
                    <w:t>Total Facility Limited Potential-to-Emit (tpy)</w:t>
                  </w:r>
                </w:p>
              </w:tc>
              <w:tc>
                <w:tcPr>
                  <w:tcW w:w="1170" w:type="dxa"/>
                </w:tcPr>
                <w:p w14:paraId="5A913241" w14:textId="77777777" w:rsidR="0078418B" w:rsidRPr="0078418B" w:rsidRDefault="0078418B" w:rsidP="00C27F99">
                  <w:pPr>
                    <w:spacing w:before="60"/>
                    <w:jc w:val="center"/>
                    <w:rPr>
                      <w:rFonts w:cs="Arial"/>
                      <w:sz w:val="16"/>
                      <w:szCs w:val="16"/>
                    </w:rPr>
                  </w:pPr>
                  <w:r w:rsidRPr="0078418B">
                    <w:rPr>
                      <w:rFonts w:cs="Arial"/>
                      <w:sz w:val="16"/>
                      <w:szCs w:val="16"/>
                    </w:rPr>
                    <w:fldChar w:fldCharType="begin">
                      <w:ffData>
                        <w:name w:val=""/>
                        <w:enabled/>
                        <w:calcOnExit w:val="0"/>
                        <w:textInput/>
                      </w:ffData>
                    </w:fldChar>
                  </w:r>
                  <w:r w:rsidRPr="0078418B">
                    <w:rPr>
                      <w:rFonts w:cs="Arial"/>
                      <w:sz w:val="16"/>
                      <w:szCs w:val="16"/>
                    </w:rPr>
                    <w:instrText xml:space="preserve"> FORMTEXT </w:instrText>
                  </w:r>
                  <w:r w:rsidRPr="0078418B">
                    <w:rPr>
                      <w:rFonts w:cs="Arial"/>
                      <w:sz w:val="16"/>
                      <w:szCs w:val="16"/>
                    </w:rPr>
                  </w:r>
                  <w:r w:rsidRPr="0078418B">
                    <w:rPr>
                      <w:rFonts w:cs="Arial"/>
                      <w:sz w:val="16"/>
                      <w:szCs w:val="16"/>
                    </w:rPr>
                    <w:fldChar w:fldCharType="separate"/>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sz w:val="16"/>
                      <w:szCs w:val="16"/>
                    </w:rPr>
                    <w:fldChar w:fldCharType="end"/>
                  </w:r>
                </w:p>
              </w:tc>
              <w:tc>
                <w:tcPr>
                  <w:tcW w:w="1170" w:type="dxa"/>
                </w:tcPr>
                <w:p w14:paraId="0F41BD2F" w14:textId="77777777" w:rsidR="0078418B" w:rsidRPr="0078418B" w:rsidRDefault="0078418B" w:rsidP="00C27F99">
                  <w:pPr>
                    <w:spacing w:before="60"/>
                    <w:jc w:val="center"/>
                    <w:rPr>
                      <w:rFonts w:cs="Arial"/>
                      <w:sz w:val="16"/>
                      <w:szCs w:val="16"/>
                    </w:rPr>
                  </w:pPr>
                  <w:r w:rsidRPr="0078418B">
                    <w:rPr>
                      <w:rFonts w:cs="Arial"/>
                      <w:sz w:val="16"/>
                      <w:szCs w:val="16"/>
                    </w:rPr>
                    <w:fldChar w:fldCharType="begin">
                      <w:ffData>
                        <w:name w:val=""/>
                        <w:enabled/>
                        <w:calcOnExit w:val="0"/>
                        <w:textInput>
                          <w:type w:val="number"/>
                        </w:textInput>
                      </w:ffData>
                    </w:fldChar>
                  </w:r>
                  <w:r w:rsidRPr="0078418B">
                    <w:rPr>
                      <w:rFonts w:cs="Arial"/>
                      <w:sz w:val="16"/>
                      <w:szCs w:val="16"/>
                    </w:rPr>
                    <w:instrText xml:space="preserve"> FORMTEXT </w:instrText>
                  </w:r>
                  <w:r w:rsidRPr="0078418B">
                    <w:rPr>
                      <w:rFonts w:cs="Arial"/>
                      <w:sz w:val="16"/>
                      <w:szCs w:val="16"/>
                    </w:rPr>
                  </w:r>
                  <w:r w:rsidRPr="0078418B">
                    <w:rPr>
                      <w:rFonts w:cs="Arial"/>
                      <w:sz w:val="16"/>
                      <w:szCs w:val="16"/>
                    </w:rPr>
                    <w:fldChar w:fldCharType="separate"/>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sz w:val="16"/>
                      <w:szCs w:val="16"/>
                    </w:rPr>
                    <w:fldChar w:fldCharType="end"/>
                  </w:r>
                </w:p>
              </w:tc>
              <w:tc>
                <w:tcPr>
                  <w:tcW w:w="1170" w:type="dxa"/>
                </w:tcPr>
                <w:p w14:paraId="6918E727" w14:textId="4D8BF977" w:rsidR="0078418B" w:rsidRPr="0078418B" w:rsidRDefault="0078418B" w:rsidP="00C27F99">
                  <w:pPr>
                    <w:spacing w:before="60"/>
                    <w:jc w:val="center"/>
                    <w:rPr>
                      <w:rFonts w:cs="Arial"/>
                      <w:sz w:val="16"/>
                      <w:szCs w:val="16"/>
                    </w:rPr>
                  </w:pPr>
                  <w:r w:rsidRPr="0078418B">
                    <w:rPr>
                      <w:rFonts w:cs="Arial"/>
                      <w:sz w:val="16"/>
                      <w:szCs w:val="16"/>
                    </w:rPr>
                    <w:fldChar w:fldCharType="begin">
                      <w:ffData>
                        <w:name w:val=""/>
                        <w:enabled/>
                        <w:calcOnExit w:val="0"/>
                        <w:textInput/>
                      </w:ffData>
                    </w:fldChar>
                  </w:r>
                  <w:r w:rsidRPr="0078418B">
                    <w:rPr>
                      <w:rFonts w:cs="Arial"/>
                      <w:sz w:val="16"/>
                      <w:szCs w:val="16"/>
                    </w:rPr>
                    <w:instrText xml:space="preserve"> FORMTEXT </w:instrText>
                  </w:r>
                  <w:r w:rsidRPr="0078418B">
                    <w:rPr>
                      <w:rFonts w:cs="Arial"/>
                      <w:sz w:val="16"/>
                      <w:szCs w:val="16"/>
                    </w:rPr>
                  </w:r>
                  <w:r w:rsidRPr="0078418B">
                    <w:rPr>
                      <w:rFonts w:cs="Arial"/>
                      <w:sz w:val="16"/>
                      <w:szCs w:val="16"/>
                    </w:rPr>
                    <w:fldChar w:fldCharType="separate"/>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sz w:val="16"/>
                      <w:szCs w:val="16"/>
                    </w:rPr>
                    <w:fldChar w:fldCharType="end"/>
                  </w:r>
                </w:p>
              </w:tc>
              <w:tc>
                <w:tcPr>
                  <w:tcW w:w="1170" w:type="dxa"/>
                </w:tcPr>
                <w:p w14:paraId="5F259D16" w14:textId="77BBC623" w:rsidR="0078418B" w:rsidRPr="0078418B" w:rsidRDefault="0078418B" w:rsidP="00C27F99">
                  <w:pPr>
                    <w:spacing w:before="60"/>
                    <w:jc w:val="center"/>
                    <w:rPr>
                      <w:rFonts w:cs="Arial"/>
                      <w:sz w:val="16"/>
                      <w:szCs w:val="16"/>
                    </w:rPr>
                  </w:pPr>
                  <w:r w:rsidRPr="0078418B">
                    <w:rPr>
                      <w:rFonts w:cs="Arial"/>
                      <w:sz w:val="16"/>
                      <w:szCs w:val="16"/>
                    </w:rPr>
                    <w:fldChar w:fldCharType="begin">
                      <w:ffData>
                        <w:name w:val=""/>
                        <w:enabled/>
                        <w:calcOnExit w:val="0"/>
                        <w:textInput/>
                      </w:ffData>
                    </w:fldChar>
                  </w:r>
                  <w:r w:rsidRPr="0078418B">
                    <w:rPr>
                      <w:rFonts w:cs="Arial"/>
                      <w:sz w:val="16"/>
                      <w:szCs w:val="16"/>
                    </w:rPr>
                    <w:instrText xml:space="preserve"> FORMTEXT </w:instrText>
                  </w:r>
                  <w:r w:rsidRPr="0078418B">
                    <w:rPr>
                      <w:rFonts w:cs="Arial"/>
                      <w:sz w:val="16"/>
                      <w:szCs w:val="16"/>
                    </w:rPr>
                  </w:r>
                  <w:r w:rsidRPr="0078418B">
                    <w:rPr>
                      <w:rFonts w:cs="Arial"/>
                      <w:sz w:val="16"/>
                      <w:szCs w:val="16"/>
                    </w:rPr>
                    <w:fldChar w:fldCharType="separate"/>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sz w:val="16"/>
                      <w:szCs w:val="16"/>
                    </w:rPr>
                    <w:fldChar w:fldCharType="end"/>
                  </w:r>
                </w:p>
              </w:tc>
              <w:tc>
                <w:tcPr>
                  <w:tcW w:w="1170" w:type="dxa"/>
                </w:tcPr>
                <w:p w14:paraId="6826812F" w14:textId="77777777" w:rsidR="0078418B" w:rsidRPr="0078418B" w:rsidRDefault="0078418B" w:rsidP="00C27F99">
                  <w:pPr>
                    <w:spacing w:before="60"/>
                    <w:jc w:val="center"/>
                    <w:rPr>
                      <w:rFonts w:cs="Arial"/>
                      <w:sz w:val="16"/>
                      <w:szCs w:val="16"/>
                    </w:rPr>
                  </w:pPr>
                  <w:r w:rsidRPr="0078418B">
                    <w:rPr>
                      <w:rFonts w:cs="Arial"/>
                      <w:sz w:val="16"/>
                      <w:szCs w:val="16"/>
                    </w:rPr>
                    <w:fldChar w:fldCharType="begin">
                      <w:ffData>
                        <w:name w:val=""/>
                        <w:enabled/>
                        <w:calcOnExit w:val="0"/>
                        <w:textInput/>
                      </w:ffData>
                    </w:fldChar>
                  </w:r>
                  <w:r w:rsidRPr="0078418B">
                    <w:rPr>
                      <w:rFonts w:cs="Arial"/>
                      <w:sz w:val="16"/>
                      <w:szCs w:val="16"/>
                    </w:rPr>
                    <w:instrText xml:space="preserve"> FORMTEXT </w:instrText>
                  </w:r>
                  <w:r w:rsidRPr="0078418B">
                    <w:rPr>
                      <w:rFonts w:cs="Arial"/>
                      <w:sz w:val="16"/>
                      <w:szCs w:val="16"/>
                    </w:rPr>
                  </w:r>
                  <w:r w:rsidRPr="0078418B">
                    <w:rPr>
                      <w:rFonts w:cs="Arial"/>
                      <w:sz w:val="16"/>
                      <w:szCs w:val="16"/>
                    </w:rPr>
                    <w:fldChar w:fldCharType="separate"/>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sz w:val="16"/>
                      <w:szCs w:val="16"/>
                    </w:rPr>
                    <w:fldChar w:fldCharType="end"/>
                  </w:r>
                </w:p>
              </w:tc>
            </w:tr>
            <w:tr w:rsidR="0078418B" w:rsidRPr="0078418B" w14:paraId="17B3ADCF" w14:textId="77777777" w:rsidTr="0078418B">
              <w:trPr>
                <w:trHeight w:val="170"/>
                <w:jc w:val="center"/>
              </w:trPr>
              <w:tc>
                <w:tcPr>
                  <w:tcW w:w="2104" w:type="dxa"/>
                  <w:vAlign w:val="center"/>
                </w:tcPr>
                <w:p w14:paraId="196057BB" w14:textId="3738623E" w:rsidR="0078418B" w:rsidRPr="0078418B" w:rsidRDefault="0078418B" w:rsidP="0078418B">
                  <w:pPr>
                    <w:spacing w:before="60" w:after="20"/>
                    <w:rPr>
                      <w:rFonts w:cs="Arial"/>
                      <w:b/>
                      <w:bCs/>
                      <w:sz w:val="16"/>
                      <w:szCs w:val="16"/>
                    </w:rPr>
                  </w:pPr>
                  <w:r w:rsidRPr="0078418B">
                    <w:rPr>
                      <w:rFonts w:cs="Arial"/>
                      <w:b/>
                      <w:bCs/>
                      <w:sz w:val="16"/>
                      <w:szCs w:val="16"/>
                    </w:rPr>
                    <w:t>Percent of allowable emissions emitted</w:t>
                  </w:r>
                </w:p>
              </w:tc>
              <w:tc>
                <w:tcPr>
                  <w:tcW w:w="1170" w:type="dxa"/>
                </w:tcPr>
                <w:p w14:paraId="201263C6" w14:textId="77777777" w:rsidR="0078418B" w:rsidRPr="0078418B" w:rsidRDefault="0078418B" w:rsidP="00C27F99">
                  <w:pPr>
                    <w:spacing w:before="60"/>
                    <w:jc w:val="center"/>
                    <w:rPr>
                      <w:rFonts w:cs="Arial"/>
                      <w:sz w:val="16"/>
                      <w:szCs w:val="16"/>
                    </w:rPr>
                  </w:pPr>
                  <w:r w:rsidRPr="0078418B">
                    <w:rPr>
                      <w:rFonts w:cs="Arial"/>
                      <w:sz w:val="16"/>
                      <w:szCs w:val="16"/>
                    </w:rPr>
                    <w:fldChar w:fldCharType="begin">
                      <w:ffData>
                        <w:name w:val=""/>
                        <w:enabled/>
                        <w:calcOnExit w:val="0"/>
                        <w:textInput/>
                      </w:ffData>
                    </w:fldChar>
                  </w:r>
                  <w:r w:rsidRPr="0078418B">
                    <w:rPr>
                      <w:rFonts w:cs="Arial"/>
                      <w:sz w:val="16"/>
                      <w:szCs w:val="16"/>
                    </w:rPr>
                    <w:instrText xml:space="preserve"> FORMTEXT </w:instrText>
                  </w:r>
                  <w:r w:rsidRPr="0078418B">
                    <w:rPr>
                      <w:rFonts w:cs="Arial"/>
                      <w:sz w:val="16"/>
                      <w:szCs w:val="16"/>
                    </w:rPr>
                  </w:r>
                  <w:r w:rsidRPr="0078418B">
                    <w:rPr>
                      <w:rFonts w:cs="Arial"/>
                      <w:sz w:val="16"/>
                      <w:szCs w:val="16"/>
                    </w:rPr>
                    <w:fldChar w:fldCharType="separate"/>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sz w:val="16"/>
                      <w:szCs w:val="16"/>
                    </w:rPr>
                    <w:fldChar w:fldCharType="end"/>
                  </w:r>
                </w:p>
              </w:tc>
              <w:tc>
                <w:tcPr>
                  <w:tcW w:w="1170" w:type="dxa"/>
                </w:tcPr>
                <w:p w14:paraId="7C8A574D" w14:textId="77777777" w:rsidR="0078418B" w:rsidRPr="0078418B" w:rsidRDefault="0078418B" w:rsidP="00C27F99">
                  <w:pPr>
                    <w:spacing w:before="60"/>
                    <w:jc w:val="center"/>
                    <w:rPr>
                      <w:rFonts w:cs="Arial"/>
                      <w:sz w:val="16"/>
                      <w:szCs w:val="16"/>
                    </w:rPr>
                  </w:pPr>
                  <w:r w:rsidRPr="0078418B">
                    <w:rPr>
                      <w:rFonts w:cs="Arial"/>
                      <w:sz w:val="16"/>
                      <w:szCs w:val="16"/>
                    </w:rPr>
                    <w:fldChar w:fldCharType="begin">
                      <w:ffData>
                        <w:name w:val=""/>
                        <w:enabled/>
                        <w:calcOnExit w:val="0"/>
                        <w:textInput>
                          <w:type w:val="number"/>
                        </w:textInput>
                      </w:ffData>
                    </w:fldChar>
                  </w:r>
                  <w:r w:rsidRPr="0078418B">
                    <w:rPr>
                      <w:rFonts w:cs="Arial"/>
                      <w:sz w:val="16"/>
                      <w:szCs w:val="16"/>
                    </w:rPr>
                    <w:instrText xml:space="preserve"> FORMTEXT </w:instrText>
                  </w:r>
                  <w:r w:rsidRPr="0078418B">
                    <w:rPr>
                      <w:rFonts w:cs="Arial"/>
                      <w:sz w:val="16"/>
                      <w:szCs w:val="16"/>
                    </w:rPr>
                  </w:r>
                  <w:r w:rsidRPr="0078418B">
                    <w:rPr>
                      <w:rFonts w:cs="Arial"/>
                      <w:sz w:val="16"/>
                      <w:szCs w:val="16"/>
                    </w:rPr>
                    <w:fldChar w:fldCharType="separate"/>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sz w:val="16"/>
                      <w:szCs w:val="16"/>
                    </w:rPr>
                    <w:fldChar w:fldCharType="end"/>
                  </w:r>
                </w:p>
              </w:tc>
              <w:tc>
                <w:tcPr>
                  <w:tcW w:w="1170" w:type="dxa"/>
                </w:tcPr>
                <w:p w14:paraId="7D47033E" w14:textId="0DEE16F6" w:rsidR="0078418B" w:rsidRPr="0078418B" w:rsidRDefault="0078418B" w:rsidP="00C27F99">
                  <w:pPr>
                    <w:spacing w:before="60"/>
                    <w:jc w:val="center"/>
                    <w:rPr>
                      <w:rFonts w:cs="Arial"/>
                      <w:sz w:val="16"/>
                      <w:szCs w:val="16"/>
                    </w:rPr>
                  </w:pPr>
                  <w:r w:rsidRPr="0078418B">
                    <w:rPr>
                      <w:rFonts w:cs="Arial"/>
                      <w:sz w:val="16"/>
                      <w:szCs w:val="16"/>
                    </w:rPr>
                    <w:fldChar w:fldCharType="begin">
                      <w:ffData>
                        <w:name w:val=""/>
                        <w:enabled/>
                        <w:calcOnExit w:val="0"/>
                        <w:textInput/>
                      </w:ffData>
                    </w:fldChar>
                  </w:r>
                  <w:r w:rsidRPr="0078418B">
                    <w:rPr>
                      <w:rFonts w:cs="Arial"/>
                      <w:sz w:val="16"/>
                      <w:szCs w:val="16"/>
                    </w:rPr>
                    <w:instrText xml:space="preserve"> FORMTEXT </w:instrText>
                  </w:r>
                  <w:r w:rsidRPr="0078418B">
                    <w:rPr>
                      <w:rFonts w:cs="Arial"/>
                      <w:sz w:val="16"/>
                      <w:szCs w:val="16"/>
                    </w:rPr>
                  </w:r>
                  <w:r w:rsidRPr="0078418B">
                    <w:rPr>
                      <w:rFonts w:cs="Arial"/>
                      <w:sz w:val="16"/>
                      <w:szCs w:val="16"/>
                    </w:rPr>
                    <w:fldChar w:fldCharType="separate"/>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sz w:val="16"/>
                      <w:szCs w:val="16"/>
                    </w:rPr>
                    <w:fldChar w:fldCharType="end"/>
                  </w:r>
                </w:p>
              </w:tc>
              <w:tc>
                <w:tcPr>
                  <w:tcW w:w="1170" w:type="dxa"/>
                </w:tcPr>
                <w:p w14:paraId="761583B7" w14:textId="01F38ED9" w:rsidR="0078418B" w:rsidRPr="0078418B" w:rsidRDefault="0078418B" w:rsidP="00C27F99">
                  <w:pPr>
                    <w:spacing w:before="60"/>
                    <w:jc w:val="center"/>
                    <w:rPr>
                      <w:rFonts w:cs="Arial"/>
                      <w:sz w:val="16"/>
                      <w:szCs w:val="16"/>
                    </w:rPr>
                  </w:pPr>
                  <w:r w:rsidRPr="0078418B">
                    <w:rPr>
                      <w:rFonts w:cs="Arial"/>
                      <w:sz w:val="16"/>
                      <w:szCs w:val="16"/>
                    </w:rPr>
                    <w:fldChar w:fldCharType="begin">
                      <w:ffData>
                        <w:name w:val=""/>
                        <w:enabled/>
                        <w:calcOnExit w:val="0"/>
                        <w:textInput/>
                      </w:ffData>
                    </w:fldChar>
                  </w:r>
                  <w:r w:rsidRPr="0078418B">
                    <w:rPr>
                      <w:rFonts w:cs="Arial"/>
                      <w:sz w:val="16"/>
                      <w:szCs w:val="16"/>
                    </w:rPr>
                    <w:instrText xml:space="preserve"> FORMTEXT </w:instrText>
                  </w:r>
                  <w:r w:rsidRPr="0078418B">
                    <w:rPr>
                      <w:rFonts w:cs="Arial"/>
                      <w:sz w:val="16"/>
                      <w:szCs w:val="16"/>
                    </w:rPr>
                  </w:r>
                  <w:r w:rsidRPr="0078418B">
                    <w:rPr>
                      <w:rFonts w:cs="Arial"/>
                      <w:sz w:val="16"/>
                      <w:szCs w:val="16"/>
                    </w:rPr>
                    <w:fldChar w:fldCharType="separate"/>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sz w:val="16"/>
                      <w:szCs w:val="16"/>
                    </w:rPr>
                    <w:fldChar w:fldCharType="end"/>
                  </w:r>
                </w:p>
              </w:tc>
              <w:tc>
                <w:tcPr>
                  <w:tcW w:w="1170" w:type="dxa"/>
                </w:tcPr>
                <w:p w14:paraId="6B22235E" w14:textId="77777777" w:rsidR="0078418B" w:rsidRPr="0078418B" w:rsidRDefault="0078418B" w:rsidP="00C27F99">
                  <w:pPr>
                    <w:spacing w:before="60"/>
                    <w:jc w:val="center"/>
                    <w:rPr>
                      <w:rFonts w:cs="Arial"/>
                      <w:sz w:val="16"/>
                      <w:szCs w:val="16"/>
                    </w:rPr>
                  </w:pPr>
                  <w:r w:rsidRPr="0078418B">
                    <w:rPr>
                      <w:rFonts w:cs="Arial"/>
                      <w:sz w:val="16"/>
                      <w:szCs w:val="16"/>
                    </w:rPr>
                    <w:fldChar w:fldCharType="begin">
                      <w:ffData>
                        <w:name w:val=""/>
                        <w:enabled/>
                        <w:calcOnExit w:val="0"/>
                        <w:textInput/>
                      </w:ffData>
                    </w:fldChar>
                  </w:r>
                  <w:r w:rsidRPr="0078418B">
                    <w:rPr>
                      <w:rFonts w:cs="Arial"/>
                      <w:sz w:val="16"/>
                      <w:szCs w:val="16"/>
                    </w:rPr>
                    <w:instrText xml:space="preserve"> FORMTEXT </w:instrText>
                  </w:r>
                  <w:r w:rsidRPr="0078418B">
                    <w:rPr>
                      <w:rFonts w:cs="Arial"/>
                      <w:sz w:val="16"/>
                      <w:szCs w:val="16"/>
                    </w:rPr>
                  </w:r>
                  <w:r w:rsidRPr="0078418B">
                    <w:rPr>
                      <w:rFonts w:cs="Arial"/>
                      <w:sz w:val="16"/>
                      <w:szCs w:val="16"/>
                    </w:rPr>
                    <w:fldChar w:fldCharType="separate"/>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noProof/>
                      <w:sz w:val="16"/>
                      <w:szCs w:val="16"/>
                    </w:rPr>
                    <w:t> </w:t>
                  </w:r>
                  <w:r w:rsidRPr="0078418B">
                    <w:rPr>
                      <w:rFonts w:cs="Arial"/>
                      <w:sz w:val="16"/>
                      <w:szCs w:val="16"/>
                    </w:rPr>
                    <w:fldChar w:fldCharType="end"/>
                  </w:r>
                </w:p>
              </w:tc>
            </w:tr>
          </w:tbl>
          <w:p w14:paraId="66E0CF8D" w14:textId="4812E4A9" w:rsidR="00B527F9" w:rsidRPr="007110CE" w:rsidRDefault="00B527F9" w:rsidP="00F24407">
            <w:pPr>
              <w:pStyle w:val="Form-Bodytext1"/>
              <w:spacing w:after="120"/>
              <w:ind w:left="460"/>
            </w:pPr>
          </w:p>
        </w:tc>
      </w:tr>
    </w:tbl>
    <w:p w14:paraId="455BA711" w14:textId="77777777" w:rsidR="009E7CC4" w:rsidRDefault="009E7CC4"/>
    <w:tbl>
      <w:tblPr>
        <w:tblStyle w:val="TableGrid"/>
        <w:tblW w:w="10714" w:type="dxa"/>
        <w:tblInd w:w="-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10714"/>
      </w:tblGrid>
      <w:tr w:rsidR="00BC7062" w:rsidRPr="007110CE" w14:paraId="7F894A85" w14:textId="77777777" w:rsidTr="00BC7062">
        <w:trPr>
          <w:trHeight w:val="1107"/>
        </w:trPr>
        <w:tc>
          <w:tcPr>
            <w:tcW w:w="10714" w:type="dxa"/>
          </w:tcPr>
          <w:p w14:paraId="7C169DA0" w14:textId="463CED29" w:rsidR="00BC7062" w:rsidRPr="006866F8" w:rsidRDefault="00BC7062" w:rsidP="00FA5A37">
            <w:pPr>
              <w:pStyle w:val="Form-Bodytext1"/>
              <w:numPr>
                <w:ilvl w:val="0"/>
                <w:numId w:val="16"/>
              </w:numPr>
              <w:spacing w:before="160"/>
            </w:pPr>
            <w:r w:rsidRPr="006866F8">
              <w:t>Are there any current or recent</w:t>
            </w:r>
            <w:r w:rsidR="002F525E">
              <w:t xml:space="preserve"> (within the last five years)</w:t>
            </w:r>
            <w:r w:rsidRPr="006866F8">
              <w:t xml:space="preserve"> enforcement actions against the</w:t>
            </w:r>
            <w:r w:rsidR="001066DD">
              <w:t xml:space="preserve"> </w:t>
            </w:r>
            <w:r w:rsidR="0083448A">
              <w:t>Permittee</w:t>
            </w:r>
            <w:r w:rsidRPr="006866F8">
              <w:t>?</w:t>
            </w:r>
          </w:p>
          <w:p w14:paraId="6FF9C65C" w14:textId="25C890DD" w:rsidR="000933D8" w:rsidRDefault="00BC7062" w:rsidP="000933D8">
            <w:pPr>
              <w:pStyle w:val="Form-Bodytext1"/>
              <w:spacing w:before="60"/>
              <w:ind w:left="460"/>
            </w:pPr>
            <w:r w:rsidRPr="007110CE">
              <w:fldChar w:fldCharType="begin">
                <w:ffData>
                  <w:name w:val="Check1"/>
                  <w:enabled/>
                  <w:calcOnExit w:val="0"/>
                  <w:checkBox>
                    <w:sizeAuto/>
                    <w:default w:val="0"/>
                  </w:checkBox>
                </w:ffData>
              </w:fldChar>
            </w:r>
            <w:r w:rsidRPr="007110CE">
              <w:instrText xml:space="preserve"> FORMCHECKBOX </w:instrText>
            </w:r>
            <w:r w:rsidR="005B6E3F">
              <w:fldChar w:fldCharType="separate"/>
            </w:r>
            <w:r w:rsidRPr="007110CE">
              <w:fldChar w:fldCharType="end"/>
            </w:r>
            <w:r w:rsidRPr="007110CE">
              <w:t xml:space="preserve"> Yes</w:t>
            </w:r>
            <w:r w:rsidR="000933D8">
              <w:t>.</w:t>
            </w:r>
          </w:p>
          <w:p w14:paraId="363A8BAE" w14:textId="08CA656F" w:rsidR="00BC7062" w:rsidRPr="007110CE" w:rsidRDefault="00BC7062" w:rsidP="00BC7062">
            <w:pPr>
              <w:pStyle w:val="Form-Bodytext1"/>
              <w:spacing w:before="60"/>
              <w:ind w:left="460"/>
            </w:pPr>
            <w:r w:rsidRPr="007110CE">
              <w:fldChar w:fldCharType="begin">
                <w:ffData>
                  <w:name w:val="Check2"/>
                  <w:enabled/>
                  <w:calcOnExit w:val="0"/>
                  <w:checkBox>
                    <w:sizeAuto/>
                    <w:default w:val="0"/>
                  </w:checkBox>
                </w:ffData>
              </w:fldChar>
            </w:r>
            <w:r w:rsidRPr="007110CE">
              <w:instrText xml:space="preserve"> FORMCHECKBOX </w:instrText>
            </w:r>
            <w:r w:rsidR="005B6E3F">
              <w:fldChar w:fldCharType="separate"/>
            </w:r>
            <w:r w:rsidRPr="007110CE">
              <w:fldChar w:fldCharType="end"/>
            </w:r>
            <w:r w:rsidRPr="007110CE">
              <w:t xml:space="preserve"> No</w:t>
            </w:r>
            <w:r w:rsidR="000933D8">
              <w:t xml:space="preserve">. </w:t>
            </w:r>
          </w:p>
          <w:p w14:paraId="7F0D5831" w14:textId="760A6A46" w:rsidR="00BC7062" w:rsidRPr="007110CE" w:rsidRDefault="00BC7062" w:rsidP="00BC7062">
            <w:pPr>
              <w:pStyle w:val="Form-Bodytext1"/>
              <w:ind w:left="460"/>
            </w:pPr>
            <w:r w:rsidRPr="007110CE">
              <w:t>If yes, describe below:</w:t>
            </w:r>
          </w:p>
          <w:p w14:paraId="2A0484D5" w14:textId="77777777" w:rsidR="00BC7062" w:rsidRDefault="00BC7062" w:rsidP="00BC7062">
            <w:pPr>
              <w:pStyle w:val="Form-Bodytext1"/>
              <w:spacing w:after="60"/>
              <w:ind w:left="460"/>
            </w:pPr>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0C5D66" w14:textId="77777777" w:rsidR="00DB4CEC" w:rsidRDefault="00DB4CEC" w:rsidP="00DB4CEC">
            <w:pPr>
              <w:pStyle w:val="Form-Bodytext1"/>
              <w:numPr>
                <w:ilvl w:val="0"/>
                <w:numId w:val="16"/>
              </w:numPr>
              <w:spacing w:after="60"/>
            </w:pPr>
            <w:r>
              <w:t>Are you currently in compliance with your air emissions permit?</w:t>
            </w:r>
          </w:p>
          <w:p w14:paraId="1A1674CE" w14:textId="2E2EA5FC" w:rsidR="00DB4CEC" w:rsidRDefault="00DB4CEC" w:rsidP="001B6547">
            <w:pPr>
              <w:pStyle w:val="Form-Bodytext1"/>
              <w:spacing w:before="60"/>
              <w:ind w:left="446"/>
            </w:pPr>
            <w:r w:rsidRPr="007110CE">
              <w:fldChar w:fldCharType="begin">
                <w:ffData>
                  <w:name w:val="Check1"/>
                  <w:enabled/>
                  <w:calcOnExit w:val="0"/>
                  <w:checkBox>
                    <w:sizeAuto/>
                    <w:default w:val="0"/>
                  </w:checkBox>
                </w:ffData>
              </w:fldChar>
            </w:r>
            <w:r w:rsidRPr="007110CE">
              <w:instrText xml:space="preserve"> FORMCHECKBOX </w:instrText>
            </w:r>
            <w:r w:rsidR="005B6E3F">
              <w:fldChar w:fldCharType="separate"/>
            </w:r>
            <w:r w:rsidRPr="007110CE">
              <w:fldChar w:fldCharType="end"/>
            </w:r>
            <w:r w:rsidRPr="007110CE">
              <w:t xml:space="preserve"> Yes</w:t>
            </w:r>
            <w:r>
              <w:t>.</w:t>
            </w:r>
          </w:p>
          <w:p w14:paraId="0ABFEA39" w14:textId="0BA981E6" w:rsidR="00DB4CEC" w:rsidRPr="00530BE0" w:rsidRDefault="00DB4CEC" w:rsidP="001B6547">
            <w:pPr>
              <w:pStyle w:val="Form-Bodytext1"/>
              <w:spacing w:after="60"/>
              <w:ind w:left="446"/>
            </w:pPr>
            <w:r w:rsidRPr="007110CE">
              <w:fldChar w:fldCharType="begin">
                <w:ffData>
                  <w:name w:val="Check2"/>
                  <w:enabled/>
                  <w:calcOnExit w:val="0"/>
                  <w:checkBox>
                    <w:sizeAuto/>
                    <w:default w:val="0"/>
                  </w:checkBox>
                </w:ffData>
              </w:fldChar>
            </w:r>
            <w:r w:rsidRPr="007110CE">
              <w:instrText xml:space="preserve"> FORMCHECKBOX </w:instrText>
            </w:r>
            <w:r w:rsidR="005B6E3F">
              <w:fldChar w:fldCharType="separate"/>
            </w:r>
            <w:r w:rsidRPr="007110CE">
              <w:fldChar w:fldCharType="end"/>
            </w:r>
            <w:r w:rsidRPr="007110CE">
              <w:t xml:space="preserve"> No</w:t>
            </w:r>
            <w:r>
              <w:t>, you are not eligible.</w:t>
            </w:r>
          </w:p>
        </w:tc>
      </w:tr>
      <w:tr w:rsidR="00BC7062" w:rsidRPr="007110CE" w14:paraId="0A11BB63" w14:textId="77777777" w:rsidTr="00BC7062">
        <w:trPr>
          <w:trHeight w:val="189"/>
        </w:trPr>
        <w:tc>
          <w:tcPr>
            <w:tcW w:w="10714" w:type="dxa"/>
          </w:tcPr>
          <w:p w14:paraId="38C8CA9D" w14:textId="50C30073" w:rsidR="00BC7062" w:rsidRPr="00BC7062" w:rsidRDefault="00BC7062" w:rsidP="00BC7062">
            <w:pPr>
              <w:pStyle w:val="Form-Bodytext1"/>
              <w:rPr>
                <w:b/>
                <w:bCs w:val="0"/>
                <w:sz w:val="20"/>
              </w:rPr>
            </w:pPr>
            <w:r w:rsidRPr="00BC7062">
              <w:rPr>
                <w:b/>
                <w:bCs w:val="0"/>
                <w:sz w:val="20"/>
              </w:rPr>
              <w:t>Meeting the above criteria does not guarantee the approval of monitor off-ramping. The agency will consider additional data in the approval process. Please answer the following:</w:t>
            </w:r>
          </w:p>
        </w:tc>
      </w:tr>
      <w:tr w:rsidR="00263B06" w:rsidRPr="007110CE" w14:paraId="6AC7903F" w14:textId="77777777" w:rsidTr="00BC7062">
        <w:trPr>
          <w:trHeight w:val="1323"/>
        </w:trPr>
        <w:tc>
          <w:tcPr>
            <w:tcW w:w="10714" w:type="dxa"/>
          </w:tcPr>
          <w:p w14:paraId="7E802527" w14:textId="23088296" w:rsidR="00530BE0" w:rsidRPr="00530BE0" w:rsidRDefault="00530BE0" w:rsidP="00BC7062">
            <w:pPr>
              <w:pStyle w:val="Form-Bodytext1"/>
              <w:numPr>
                <w:ilvl w:val="0"/>
                <w:numId w:val="16"/>
              </w:numPr>
            </w:pPr>
            <w:r w:rsidRPr="00530BE0">
              <w:t xml:space="preserve">Are you aware of any community concerns from neighbors or the public that have been expressed to the </w:t>
            </w:r>
            <w:r w:rsidR="0083448A">
              <w:t>Permittee?</w:t>
            </w:r>
          </w:p>
          <w:p w14:paraId="5E5E1753" w14:textId="433FF9C0" w:rsidR="00530BE0" w:rsidRDefault="00530BE0" w:rsidP="00BC7062">
            <w:pPr>
              <w:pStyle w:val="Form-Bodytext1"/>
              <w:spacing w:before="60"/>
              <w:ind w:left="460"/>
            </w:pPr>
            <w:r w:rsidRPr="007110CE">
              <w:fldChar w:fldCharType="begin">
                <w:ffData>
                  <w:name w:val="Check1"/>
                  <w:enabled/>
                  <w:calcOnExit w:val="0"/>
                  <w:checkBox>
                    <w:sizeAuto/>
                    <w:default w:val="0"/>
                  </w:checkBox>
                </w:ffData>
              </w:fldChar>
            </w:r>
            <w:r w:rsidRPr="007110CE">
              <w:instrText xml:space="preserve"> FORMCHECKBOX </w:instrText>
            </w:r>
            <w:r w:rsidR="005B6E3F">
              <w:fldChar w:fldCharType="separate"/>
            </w:r>
            <w:r w:rsidRPr="007110CE">
              <w:fldChar w:fldCharType="end"/>
            </w:r>
            <w:r w:rsidRPr="007110CE">
              <w:t xml:space="preserve"> Yes</w:t>
            </w:r>
            <w:r>
              <w:t>.</w:t>
            </w:r>
          </w:p>
          <w:p w14:paraId="5AB1BC5E" w14:textId="168830DB" w:rsidR="00530BE0" w:rsidRPr="007110CE" w:rsidRDefault="00530BE0" w:rsidP="00BC7062">
            <w:pPr>
              <w:pStyle w:val="Form-Bodytext1"/>
              <w:spacing w:before="60"/>
              <w:ind w:left="460"/>
            </w:pPr>
            <w:r w:rsidRPr="007110CE">
              <w:fldChar w:fldCharType="begin">
                <w:ffData>
                  <w:name w:val="Check2"/>
                  <w:enabled/>
                  <w:calcOnExit w:val="0"/>
                  <w:checkBox>
                    <w:sizeAuto/>
                    <w:default w:val="0"/>
                  </w:checkBox>
                </w:ffData>
              </w:fldChar>
            </w:r>
            <w:r w:rsidRPr="007110CE">
              <w:instrText xml:space="preserve"> FORMCHECKBOX </w:instrText>
            </w:r>
            <w:r w:rsidR="005B6E3F">
              <w:fldChar w:fldCharType="separate"/>
            </w:r>
            <w:r w:rsidRPr="007110CE">
              <w:fldChar w:fldCharType="end"/>
            </w:r>
            <w:r w:rsidRPr="007110CE">
              <w:t xml:space="preserve"> No</w:t>
            </w:r>
            <w:r>
              <w:t>.</w:t>
            </w:r>
          </w:p>
          <w:p w14:paraId="6F944D98" w14:textId="77777777" w:rsidR="00530BE0" w:rsidRPr="007110CE" w:rsidRDefault="00530BE0" w:rsidP="00530BE0">
            <w:pPr>
              <w:pStyle w:val="Form-Bodytext1"/>
              <w:ind w:left="460"/>
            </w:pPr>
            <w:r w:rsidRPr="007110CE">
              <w:t>If yes, describe below:</w:t>
            </w:r>
          </w:p>
          <w:p w14:paraId="078DECF1" w14:textId="78DC53CD" w:rsidR="00263B06" w:rsidRPr="007110CE" w:rsidRDefault="00530BE0" w:rsidP="00BC7062">
            <w:pPr>
              <w:pStyle w:val="Form-Bodytext1"/>
              <w:spacing w:after="60"/>
              <w:ind w:left="460"/>
            </w:pPr>
            <w:r>
              <w:fldChar w:fldCharType="begin">
                <w:ffData>
                  <w:name w:val="Text2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5C06" w:rsidRPr="007110CE" w14:paraId="70D9CD53" w14:textId="77777777" w:rsidTr="0099017A">
        <w:trPr>
          <w:trHeight w:val="1152"/>
        </w:trPr>
        <w:tc>
          <w:tcPr>
            <w:tcW w:w="10714" w:type="dxa"/>
          </w:tcPr>
          <w:p w14:paraId="673CB718" w14:textId="2E42BBBF" w:rsidR="00530BE0" w:rsidRPr="00530BE0" w:rsidRDefault="00530BE0" w:rsidP="00BC7062">
            <w:pPr>
              <w:pStyle w:val="ListParagraph"/>
              <w:numPr>
                <w:ilvl w:val="0"/>
                <w:numId w:val="16"/>
              </w:numPr>
              <w:spacing w:before="240"/>
              <w:rPr>
                <w:bCs/>
                <w:szCs w:val="20"/>
              </w:rPr>
            </w:pPr>
            <w:r w:rsidRPr="00530BE0">
              <w:rPr>
                <w:rStyle w:val="Form-Bodytext1Char"/>
              </w:rPr>
              <w:t xml:space="preserve">Is your facility located in or near (within </w:t>
            </w:r>
            <w:r w:rsidR="002C65D0">
              <w:rPr>
                <w:rStyle w:val="Form-Bodytext1Char"/>
              </w:rPr>
              <w:t>one</w:t>
            </w:r>
            <w:r w:rsidRPr="00530BE0">
              <w:rPr>
                <w:rStyle w:val="Form-Bodytext1Char"/>
              </w:rPr>
              <w:t xml:space="preserve"> mile) of an area of Environmental Justice concern? </w:t>
            </w:r>
            <w:hyperlink r:id="rId11" w:history="1">
              <w:r w:rsidRPr="00530BE0">
                <w:rPr>
                  <w:rStyle w:val="Hyperlink"/>
                  <w:bCs/>
                  <w:szCs w:val="20"/>
                </w:rPr>
                <w:t>https://www.pca.state.mn.us/about-mpca/environmental-justice</w:t>
              </w:r>
            </w:hyperlink>
          </w:p>
          <w:p w14:paraId="414E3E56" w14:textId="77777777" w:rsidR="00530BE0" w:rsidRDefault="00530BE0" w:rsidP="00FA5A37">
            <w:pPr>
              <w:pStyle w:val="Form-Bodytext1"/>
              <w:spacing w:before="60"/>
              <w:ind w:left="460"/>
            </w:pPr>
            <w:r w:rsidRPr="007110CE">
              <w:fldChar w:fldCharType="begin">
                <w:ffData>
                  <w:name w:val="Check1"/>
                  <w:enabled/>
                  <w:calcOnExit w:val="0"/>
                  <w:checkBox>
                    <w:sizeAuto/>
                    <w:default w:val="0"/>
                  </w:checkBox>
                </w:ffData>
              </w:fldChar>
            </w:r>
            <w:r w:rsidRPr="007110CE">
              <w:instrText xml:space="preserve"> FORMCHECKBOX </w:instrText>
            </w:r>
            <w:r w:rsidR="005B6E3F">
              <w:fldChar w:fldCharType="separate"/>
            </w:r>
            <w:r w:rsidRPr="007110CE">
              <w:fldChar w:fldCharType="end"/>
            </w:r>
            <w:r w:rsidRPr="007110CE">
              <w:t xml:space="preserve"> Yes</w:t>
            </w:r>
            <w:r>
              <w:t>.</w:t>
            </w:r>
          </w:p>
          <w:p w14:paraId="60AD3BBE" w14:textId="0F39AA7F" w:rsidR="00225C06" w:rsidRPr="007110CE" w:rsidRDefault="00530BE0" w:rsidP="00FA5A37">
            <w:pPr>
              <w:pStyle w:val="Form-Bodytext1"/>
              <w:spacing w:before="60"/>
              <w:ind w:left="460"/>
            </w:pPr>
            <w:r w:rsidRPr="007110CE">
              <w:fldChar w:fldCharType="begin">
                <w:ffData>
                  <w:name w:val="Check2"/>
                  <w:enabled/>
                  <w:calcOnExit w:val="0"/>
                  <w:checkBox>
                    <w:sizeAuto/>
                    <w:default w:val="0"/>
                  </w:checkBox>
                </w:ffData>
              </w:fldChar>
            </w:r>
            <w:r w:rsidRPr="007110CE">
              <w:instrText xml:space="preserve"> FORMCHECKBOX </w:instrText>
            </w:r>
            <w:r w:rsidR="005B6E3F">
              <w:fldChar w:fldCharType="separate"/>
            </w:r>
            <w:r w:rsidRPr="007110CE">
              <w:fldChar w:fldCharType="end"/>
            </w:r>
            <w:r w:rsidRPr="007110CE">
              <w:t xml:space="preserve"> No</w:t>
            </w:r>
            <w:r>
              <w:t>.</w:t>
            </w:r>
          </w:p>
        </w:tc>
      </w:tr>
      <w:tr w:rsidR="00225C06" w:rsidRPr="007110CE" w14:paraId="47A87BE3" w14:textId="77777777" w:rsidTr="00BC7062">
        <w:trPr>
          <w:trHeight w:val="405"/>
        </w:trPr>
        <w:tc>
          <w:tcPr>
            <w:tcW w:w="10714" w:type="dxa"/>
          </w:tcPr>
          <w:p w14:paraId="27C21072" w14:textId="77777777" w:rsidR="00530BE0" w:rsidRPr="00530BE0" w:rsidRDefault="00530BE0" w:rsidP="00BC7062">
            <w:pPr>
              <w:pStyle w:val="Form-Bodytext1"/>
              <w:numPr>
                <w:ilvl w:val="0"/>
                <w:numId w:val="16"/>
              </w:numPr>
              <w:spacing w:before="240"/>
            </w:pPr>
            <w:r w:rsidRPr="00530BE0">
              <w:t>Please describe the proximity of the facility to schools, daycares, parks, hospitals, residents, or other sensitive properties/locations.</w:t>
            </w:r>
          </w:p>
          <w:p w14:paraId="11E635BE" w14:textId="77777777" w:rsidR="00225C06" w:rsidRPr="007110CE" w:rsidRDefault="00225C06" w:rsidP="00BC7062">
            <w:pPr>
              <w:pStyle w:val="Form-Bodytext1"/>
              <w:spacing w:after="60"/>
              <w:ind w:left="460"/>
            </w:pPr>
            <w:r>
              <w:fldChar w:fldCharType="begin">
                <w:ffData>
                  <w:name w:val="Text282"/>
                  <w:enabled/>
                  <w:calcOnExit w:val="0"/>
                  <w:textInput/>
                </w:ffData>
              </w:fldChar>
            </w:r>
            <w:bookmarkStart w:id="2" w:name="Text2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225C06" w:rsidRPr="007110CE" w14:paraId="0BBF8609" w14:textId="77777777" w:rsidTr="0099017A">
        <w:trPr>
          <w:trHeight w:val="1080"/>
        </w:trPr>
        <w:tc>
          <w:tcPr>
            <w:tcW w:w="10714" w:type="dxa"/>
          </w:tcPr>
          <w:p w14:paraId="489C04E3" w14:textId="11D93A86" w:rsidR="00530BE0" w:rsidRPr="00530BE0" w:rsidRDefault="00530BE0" w:rsidP="00BC7062">
            <w:pPr>
              <w:pStyle w:val="Form-Bodytext1"/>
              <w:numPr>
                <w:ilvl w:val="0"/>
                <w:numId w:val="16"/>
              </w:numPr>
              <w:spacing w:before="240"/>
            </w:pPr>
            <w:r w:rsidRPr="00530BE0">
              <w:t xml:space="preserve">Is the facility located in a </w:t>
            </w:r>
            <w:r w:rsidR="003914E5">
              <w:t>State Implementation Plan (</w:t>
            </w:r>
            <w:r w:rsidRPr="00530BE0">
              <w:t>SIP</w:t>
            </w:r>
            <w:r w:rsidR="003914E5">
              <w:t>)</w:t>
            </w:r>
            <w:r w:rsidRPr="00530BE0">
              <w:t>, non-attainment, or maintenance area?</w:t>
            </w:r>
          </w:p>
          <w:p w14:paraId="172FD4DF" w14:textId="77777777" w:rsidR="00530BE0" w:rsidRDefault="00530BE0" w:rsidP="00FA5A37">
            <w:pPr>
              <w:pStyle w:val="Form-Bodytext1"/>
              <w:spacing w:before="60"/>
              <w:ind w:left="460"/>
            </w:pPr>
            <w:r w:rsidRPr="007110CE">
              <w:fldChar w:fldCharType="begin">
                <w:ffData>
                  <w:name w:val="Check1"/>
                  <w:enabled/>
                  <w:calcOnExit w:val="0"/>
                  <w:checkBox>
                    <w:sizeAuto/>
                    <w:default w:val="0"/>
                  </w:checkBox>
                </w:ffData>
              </w:fldChar>
            </w:r>
            <w:r w:rsidRPr="007110CE">
              <w:instrText xml:space="preserve"> FORMCHECKBOX </w:instrText>
            </w:r>
            <w:r w:rsidR="005B6E3F">
              <w:fldChar w:fldCharType="separate"/>
            </w:r>
            <w:r w:rsidRPr="007110CE">
              <w:fldChar w:fldCharType="end"/>
            </w:r>
            <w:r w:rsidRPr="007110CE">
              <w:t xml:space="preserve"> Yes</w:t>
            </w:r>
            <w:r>
              <w:t>.</w:t>
            </w:r>
          </w:p>
          <w:p w14:paraId="59397161" w14:textId="21061A3F" w:rsidR="00225C06" w:rsidRPr="007110CE" w:rsidRDefault="00530BE0" w:rsidP="00FA5A37">
            <w:pPr>
              <w:pStyle w:val="Form-Bodytext1"/>
              <w:spacing w:before="60"/>
              <w:ind w:left="460"/>
            </w:pPr>
            <w:r w:rsidRPr="007110CE">
              <w:fldChar w:fldCharType="begin">
                <w:ffData>
                  <w:name w:val="Check2"/>
                  <w:enabled/>
                  <w:calcOnExit w:val="0"/>
                  <w:checkBox>
                    <w:sizeAuto/>
                    <w:default w:val="0"/>
                  </w:checkBox>
                </w:ffData>
              </w:fldChar>
            </w:r>
            <w:r w:rsidRPr="007110CE">
              <w:instrText xml:space="preserve"> FORMCHECKBOX </w:instrText>
            </w:r>
            <w:r w:rsidR="005B6E3F">
              <w:fldChar w:fldCharType="separate"/>
            </w:r>
            <w:r w:rsidRPr="007110CE">
              <w:fldChar w:fldCharType="end"/>
            </w:r>
            <w:r w:rsidRPr="007110CE">
              <w:t xml:space="preserve"> No</w:t>
            </w:r>
            <w:r>
              <w:t>.</w:t>
            </w:r>
          </w:p>
        </w:tc>
      </w:tr>
      <w:tr w:rsidR="007059B8" w:rsidRPr="007110CE" w14:paraId="374DD767" w14:textId="77777777" w:rsidTr="00BC7062">
        <w:trPr>
          <w:trHeight w:val="522"/>
        </w:trPr>
        <w:tc>
          <w:tcPr>
            <w:tcW w:w="10714" w:type="dxa"/>
          </w:tcPr>
          <w:p w14:paraId="069FBE83" w14:textId="2773BEBC" w:rsidR="00530BE0" w:rsidRPr="00530BE0" w:rsidRDefault="00530BE0" w:rsidP="00BC7062">
            <w:pPr>
              <w:pStyle w:val="Form-Bodytext1"/>
              <w:numPr>
                <w:ilvl w:val="0"/>
                <w:numId w:val="16"/>
              </w:numPr>
              <w:spacing w:before="240"/>
            </w:pPr>
            <w:r w:rsidRPr="00530BE0">
              <w:t xml:space="preserve">Are any modifications that will increase emissions of the monitored pollutant planned or expected in the next </w:t>
            </w:r>
            <w:r w:rsidR="002C65D0">
              <w:t>five</w:t>
            </w:r>
            <w:r w:rsidRPr="00530BE0">
              <w:t xml:space="preserve"> years? </w:t>
            </w:r>
            <w:r w:rsidR="00C27F99">
              <w:t>10</w:t>
            </w:r>
            <w:r w:rsidR="002C65D0">
              <w:t> </w:t>
            </w:r>
            <w:r w:rsidRPr="00530BE0">
              <w:t>years? If so, please describe the estimated increase below.</w:t>
            </w:r>
          </w:p>
          <w:p w14:paraId="1E65828B" w14:textId="38D89F4A" w:rsidR="00530BE0" w:rsidRPr="007110CE" w:rsidRDefault="007059B8" w:rsidP="00BC7062">
            <w:pPr>
              <w:pStyle w:val="Form-Bodytext1"/>
              <w:spacing w:after="60"/>
              <w:ind w:left="460"/>
            </w:pPr>
            <w:r>
              <w:fldChar w:fldCharType="begin">
                <w:ffData>
                  <w:name w:val="Text284"/>
                  <w:enabled/>
                  <w:calcOnExit w:val="0"/>
                  <w:textInput/>
                </w:ffData>
              </w:fldChar>
            </w:r>
            <w:bookmarkStart w:id="3" w:name="Text2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404D5A24" w14:textId="77777777" w:rsidR="007110CE" w:rsidRPr="007110CE" w:rsidRDefault="007110CE" w:rsidP="00961236">
      <w:pPr>
        <w:pStyle w:val="Form-Heading1"/>
        <w:keepNext/>
        <w:keepLines/>
        <w:spacing w:before="320" w:after="0"/>
        <w:ind w:left="0" w:firstLine="0"/>
      </w:pPr>
      <w:r w:rsidRPr="007110CE">
        <w:lastRenderedPageBreak/>
        <w:t>Certification</w:t>
      </w:r>
    </w:p>
    <w:p w14:paraId="7287FB1B" w14:textId="1660D8C3" w:rsidR="007110CE" w:rsidRPr="007110CE" w:rsidRDefault="007110CE" w:rsidP="00961236">
      <w:pPr>
        <w:pStyle w:val="Form-Bodytext1"/>
        <w:keepNext/>
        <w:keepLines/>
        <w:spacing w:after="120"/>
        <w:rPr>
          <w:i/>
        </w:rPr>
      </w:pPr>
      <w:r w:rsidRPr="007110CE">
        <w:rPr>
          <w:i/>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r w:rsidR="00085C09">
        <w:rPr>
          <w:i/>
        </w:rPr>
        <w:t xml:space="preserve"> Additionally, I certify this submittal with the understanding that ambient air monitoring can be required by the MPCA at any time.</w:t>
      </w:r>
      <w:r w:rsidRPr="007110CE">
        <w:rPr>
          <w:i/>
        </w:rPr>
        <w:t>”</w:t>
      </w:r>
    </w:p>
    <w:tbl>
      <w:tblPr>
        <w:tblW w:w="0" w:type="auto"/>
        <w:tblInd w:w="-108" w:type="dxa"/>
        <w:tblLayout w:type="fixed"/>
        <w:tblLook w:val="0000" w:firstRow="0" w:lastRow="0" w:firstColumn="0" w:lastColumn="0" w:noHBand="0" w:noVBand="0"/>
      </w:tblPr>
      <w:tblGrid>
        <w:gridCol w:w="1476"/>
        <w:gridCol w:w="522"/>
        <w:gridCol w:w="3528"/>
        <w:gridCol w:w="630"/>
        <w:gridCol w:w="1188"/>
        <w:gridCol w:w="3267"/>
      </w:tblGrid>
      <w:tr w:rsidR="007110CE" w:rsidRPr="007110CE" w14:paraId="21C8BE3F" w14:textId="77777777" w:rsidTr="007059B8">
        <w:tc>
          <w:tcPr>
            <w:tcW w:w="1476" w:type="dxa"/>
          </w:tcPr>
          <w:p w14:paraId="65B92774" w14:textId="77777777" w:rsidR="007110CE" w:rsidRPr="007110CE" w:rsidRDefault="007110CE" w:rsidP="00961236">
            <w:pPr>
              <w:pStyle w:val="Form-Bodytext1"/>
              <w:keepNext/>
              <w:keepLines/>
            </w:pPr>
            <w:r w:rsidRPr="007110CE">
              <w:t>Printed name:</w:t>
            </w:r>
          </w:p>
        </w:tc>
        <w:tc>
          <w:tcPr>
            <w:tcW w:w="4050" w:type="dxa"/>
            <w:gridSpan w:val="2"/>
            <w:tcBorders>
              <w:bottom w:val="single" w:sz="4" w:space="0" w:color="auto"/>
            </w:tcBorders>
          </w:tcPr>
          <w:p w14:paraId="0B2B75AB" w14:textId="77777777" w:rsidR="007110CE" w:rsidRPr="007110CE" w:rsidRDefault="007110CE" w:rsidP="00961236">
            <w:pPr>
              <w:pStyle w:val="Form-Bodytext1"/>
              <w:keepNext/>
              <w:keepLines/>
            </w:pPr>
            <w:r w:rsidRPr="007110CE">
              <w:fldChar w:fldCharType="begin">
                <w:ffData>
                  <w:name w:val="Text128"/>
                  <w:enabled/>
                  <w:calcOnExit w:val="0"/>
                  <w:textInput/>
                </w:ffData>
              </w:fldChar>
            </w:r>
            <w:bookmarkStart w:id="4" w:name="Text128"/>
            <w:r w:rsidRPr="007110CE">
              <w:instrText xml:space="preserve"> FORMTEXT </w:instrText>
            </w:r>
            <w:r w:rsidRPr="007110CE">
              <w:fldChar w:fldCharType="separate"/>
            </w:r>
            <w:r w:rsidRPr="007110CE">
              <w:t> </w:t>
            </w:r>
            <w:r w:rsidRPr="007110CE">
              <w:t> </w:t>
            </w:r>
            <w:r w:rsidRPr="007110CE">
              <w:t> </w:t>
            </w:r>
            <w:r w:rsidRPr="007110CE">
              <w:t> </w:t>
            </w:r>
            <w:r w:rsidRPr="007110CE">
              <w:t> </w:t>
            </w:r>
            <w:r w:rsidRPr="007110CE">
              <w:fldChar w:fldCharType="end"/>
            </w:r>
            <w:bookmarkEnd w:id="4"/>
          </w:p>
        </w:tc>
        <w:tc>
          <w:tcPr>
            <w:tcW w:w="630" w:type="dxa"/>
            <w:vAlign w:val="bottom"/>
          </w:tcPr>
          <w:p w14:paraId="1D4DE383" w14:textId="77777777" w:rsidR="007110CE" w:rsidRPr="007110CE" w:rsidRDefault="007110CE" w:rsidP="00961236">
            <w:pPr>
              <w:pStyle w:val="Form-Bodytext1"/>
              <w:keepNext/>
              <w:keepLines/>
            </w:pPr>
            <w:r w:rsidRPr="007110CE">
              <w:t>Title:</w:t>
            </w:r>
          </w:p>
        </w:tc>
        <w:tc>
          <w:tcPr>
            <w:tcW w:w="4455" w:type="dxa"/>
            <w:gridSpan w:val="2"/>
            <w:tcBorders>
              <w:bottom w:val="single" w:sz="4" w:space="0" w:color="auto"/>
            </w:tcBorders>
          </w:tcPr>
          <w:p w14:paraId="501DC984" w14:textId="77777777" w:rsidR="007110CE" w:rsidRPr="007110CE" w:rsidRDefault="007110CE" w:rsidP="00961236">
            <w:pPr>
              <w:pStyle w:val="Form-Bodytext1"/>
              <w:keepNext/>
              <w:keepLines/>
            </w:pPr>
            <w:r w:rsidRPr="007110CE">
              <w:fldChar w:fldCharType="begin">
                <w:ffData>
                  <w:name w:val="Text129"/>
                  <w:enabled/>
                  <w:calcOnExit w:val="0"/>
                  <w:textInput/>
                </w:ffData>
              </w:fldChar>
            </w:r>
            <w:bookmarkStart w:id="5" w:name="Text129"/>
            <w:r w:rsidRPr="007110CE">
              <w:instrText xml:space="preserve"> FORMTEXT </w:instrText>
            </w:r>
            <w:r w:rsidRPr="007110CE">
              <w:fldChar w:fldCharType="separate"/>
            </w:r>
            <w:r w:rsidRPr="007110CE">
              <w:t> </w:t>
            </w:r>
            <w:r w:rsidRPr="007110CE">
              <w:t> </w:t>
            </w:r>
            <w:r w:rsidRPr="007110CE">
              <w:t> </w:t>
            </w:r>
            <w:r w:rsidRPr="007110CE">
              <w:t> </w:t>
            </w:r>
            <w:r w:rsidRPr="007110CE">
              <w:t> </w:t>
            </w:r>
            <w:r w:rsidRPr="007110CE">
              <w:fldChar w:fldCharType="end"/>
            </w:r>
            <w:bookmarkEnd w:id="5"/>
          </w:p>
        </w:tc>
      </w:tr>
      <w:tr w:rsidR="007110CE" w:rsidRPr="007110CE" w14:paraId="6C9D40A7" w14:textId="77777777" w:rsidTr="007059B8">
        <w:tc>
          <w:tcPr>
            <w:tcW w:w="1998" w:type="dxa"/>
            <w:gridSpan w:val="2"/>
          </w:tcPr>
          <w:p w14:paraId="2D3742F1" w14:textId="77777777" w:rsidR="007110CE" w:rsidRPr="007110CE" w:rsidRDefault="007110CE" w:rsidP="00961236">
            <w:pPr>
              <w:pStyle w:val="Form-Bodytext1"/>
              <w:keepNext/>
              <w:keepLines/>
              <w:spacing w:before="360"/>
            </w:pPr>
            <w:r w:rsidRPr="007110CE">
              <w:t>Authorized signature:</w:t>
            </w:r>
          </w:p>
        </w:tc>
        <w:tc>
          <w:tcPr>
            <w:tcW w:w="3528" w:type="dxa"/>
            <w:tcBorders>
              <w:bottom w:val="single" w:sz="4" w:space="0" w:color="auto"/>
            </w:tcBorders>
          </w:tcPr>
          <w:p w14:paraId="3C0FD90A" w14:textId="77777777" w:rsidR="007110CE" w:rsidRPr="007110CE" w:rsidRDefault="007110CE" w:rsidP="00961236">
            <w:pPr>
              <w:pStyle w:val="Form-Bodytext1"/>
              <w:keepNext/>
              <w:keepLines/>
              <w:spacing w:before="360"/>
            </w:pPr>
          </w:p>
        </w:tc>
        <w:tc>
          <w:tcPr>
            <w:tcW w:w="1818" w:type="dxa"/>
            <w:gridSpan w:val="2"/>
            <w:vAlign w:val="bottom"/>
          </w:tcPr>
          <w:p w14:paraId="47062508" w14:textId="77777777" w:rsidR="007110CE" w:rsidRPr="007110CE" w:rsidRDefault="007110CE" w:rsidP="00961236">
            <w:pPr>
              <w:pStyle w:val="Form-Bodytext1"/>
              <w:keepNext/>
              <w:keepLines/>
              <w:spacing w:before="360"/>
            </w:pPr>
            <w:r w:rsidRPr="007110CE">
              <w:t>Date (mm/dd/yyyy):</w:t>
            </w:r>
          </w:p>
        </w:tc>
        <w:tc>
          <w:tcPr>
            <w:tcW w:w="3267" w:type="dxa"/>
            <w:tcBorders>
              <w:bottom w:val="single" w:sz="4" w:space="0" w:color="auto"/>
            </w:tcBorders>
          </w:tcPr>
          <w:p w14:paraId="51C779EC" w14:textId="67AFB8DD" w:rsidR="007110CE" w:rsidRPr="007110CE" w:rsidRDefault="009E7CC4" w:rsidP="00961236">
            <w:pPr>
              <w:pStyle w:val="Form-Bodytext1"/>
              <w:keepNext/>
              <w:keepLines/>
              <w:spacing w:before="360"/>
            </w:pPr>
            <w:r>
              <w:fldChar w:fldCharType="begin">
                <w:ffData>
                  <w:name w:val="Text285"/>
                  <w:enabled/>
                  <w:calcOnExit w:val="0"/>
                  <w:textInput>
                    <w:type w:val="date"/>
                    <w:format w:val="M/d/yyyy"/>
                  </w:textInput>
                </w:ffData>
              </w:fldChar>
            </w:r>
            <w:bookmarkStart w:id="6" w:name="Text2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67C6326A" w14:textId="43499B58" w:rsidR="007110CE" w:rsidRDefault="007110CE" w:rsidP="00FA5A37">
      <w:pPr>
        <w:pStyle w:val="Form-Bodytext1"/>
        <w:spacing w:before="240"/>
      </w:pPr>
      <w:r w:rsidRPr="007110CE">
        <w:rPr>
          <w:b/>
        </w:rPr>
        <w:t>Note:</w:t>
      </w:r>
      <w:r w:rsidRPr="007110CE">
        <w:t xml:space="preserve"> The individual signing must meet the definition of “responsible official” in Minn. R. 7007.0100, subp. 21.</w:t>
      </w:r>
    </w:p>
    <w:p w14:paraId="79D9623F" w14:textId="239AFE94" w:rsidR="00202212" w:rsidRPr="00BC7062" w:rsidRDefault="00202212" w:rsidP="00BC7062">
      <w:pPr>
        <w:pStyle w:val="Form-Bodytext1"/>
        <w:spacing w:before="0"/>
        <w:rPr>
          <w:sz w:val="8"/>
          <w:szCs w:val="8"/>
        </w:rPr>
      </w:pPr>
    </w:p>
    <w:p w14:paraId="3E9334A8" w14:textId="14437147" w:rsidR="00202212" w:rsidRPr="00D46AC0" w:rsidRDefault="00930127" w:rsidP="00BC7062">
      <w:pPr>
        <w:pStyle w:val="Form-Heading2"/>
        <w:keepNext/>
        <w:keepLines/>
      </w:pPr>
      <w:r>
        <w:t>Instructions for determining eligibility</w:t>
      </w:r>
    </w:p>
    <w:p w14:paraId="78DBF0A0" w14:textId="0DA4A441" w:rsidR="00D46AC0" w:rsidRPr="00D46AC0" w:rsidRDefault="00D46AC0" w:rsidP="00BC7062">
      <w:pPr>
        <w:pStyle w:val="Form-Heading3"/>
        <w:spacing w:before="120"/>
      </w:pPr>
      <w:r>
        <w:t xml:space="preserve">The </w:t>
      </w:r>
      <w:r w:rsidR="0083448A">
        <w:t>Permittee</w:t>
      </w:r>
      <w:r w:rsidRPr="00D46AC0">
        <w:t xml:space="preserve"> may request </w:t>
      </w:r>
      <w:r w:rsidR="00374078">
        <w:t>a conditional monitoring</w:t>
      </w:r>
      <w:r w:rsidRPr="00D46AC0">
        <w:t xml:space="preserve"> off-ramp if they meet the following criteria:</w:t>
      </w:r>
    </w:p>
    <w:p w14:paraId="28AB18A5" w14:textId="395CE407" w:rsidR="00D46AC0" w:rsidRPr="00FA5A37" w:rsidRDefault="00D46AC0" w:rsidP="00BC7062">
      <w:pPr>
        <w:pStyle w:val="Form-Bodytext1"/>
        <w:numPr>
          <w:ilvl w:val="0"/>
          <w:numId w:val="20"/>
        </w:numPr>
        <w:rPr>
          <w:rFonts w:cs="Arial"/>
          <w:szCs w:val="18"/>
        </w:rPr>
      </w:pPr>
      <w:r w:rsidRPr="00FA5A37">
        <w:rPr>
          <w:rFonts w:cs="Arial"/>
          <w:szCs w:val="18"/>
        </w:rPr>
        <w:t>The monitoring was conducted in accordance with an approved monitoring plan. Any data collected before a monitor plan is approved will not be analyzed for off-ramping purposes</w:t>
      </w:r>
      <w:r w:rsidR="00BC7062" w:rsidRPr="00FA5A37">
        <w:rPr>
          <w:rFonts w:cs="Arial"/>
          <w:szCs w:val="18"/>
        </w:rPr>
        <w:t>;</w:t>
      </w:r>
    </w:p>
    <w:p w14:paraId="46DD48C9" w14:textId="66B15052" w:rsidR="00D46AC0" w:rsidRPr="00FA5A37" w:rsidRDefault="00D46AC0" w:rsidP="00BC7062">
      <w:pPr>
        <w:pStyle w:val="Form-Bodytext1"/>
        <w:numPr>
          <w:ilvl w:val="0"/>
          <w:numId w:val="20"/>
        </w:numPr>
        <w:rPr>
          <w:rFonts w:cs="Arial"/>
          <w:szCs w:val="18"/>
        </w:rPr>
      </w:pPr>
      <w:r w:rsidRPr="00FA5A37">
        <w:rPr>
          <w:rFonts w:cs="Arial"/>
          <w:szCs w:val="18"/>
        </w:rPr>
        <w:t>The data satisfies the completeness criteria;</w:t>
      </w:r>
    </w:p>
    <w:p w14:paraId="323E0E81" w14:textId="3B63373A" w:rsidR="00D46AC0" w:rsidRPr="00FA5A37" w:rsidRDefault="00D46AC0" w:rsidP="00BC7062">
      <w:pPr>
        <w:pStyle w:val="Form-Bodytext1"/>
        <w:numPr>
          <w:ilvl w:val="0"/>
          <w:numId w:val="20"/>
        </w:numPr>
        <w:rPr>
          <w:rFonts w:cs="Arial"/>
          <w:szCs w:val="18"/>
        </w:rPr>
      </w:pPr>
      <w:r w:rsidRPr="00FA5A37">
        <w:rPr>
          <w:rFonts w:cs="Arial"/>
          <w:szCs w:val="18"/>
        </w:rPr>
        <w:t>All state and federal monitor and data audits have been completed and are approved by the MPCA;</w:t>
      </w:r>
    </w:p>
    <w:p w14:paraId="11BF2948" w14:textId="3EEF4D4B" w:rsidR="00D46AC0" w:rsidRPr="00FA5A37" w:rsidRDefault="00D46AC0" w:rsidP="00BC7062">
      <w:pPr>
        <w:pStyle w:val="Form-Bodytext1"/>
        <w:numPr>
          <w:ilvl w:val="0"/>
          <w:numId w:val="20"/>
        </w:numPr>
        <w:rPr>
          <w:rFonts w:cs="Arial"/>
          <w:szCs w:val="18"/>
        </w:rPr>
      </w:pPr>
      <w:r w:rsidRPr="00FA5A37">
        <w:rPr>
          <w:rFonts w:cs="Arial"/>
          <w:szCs w:val="18"/>
        </w:rPr>
        <w:t>The probability that the monitor will exceed 80% of the applicable NAAQS or MAAQS during the next three years is less than 10% based on the concentrations, trends, and variability observed in the data collected by the industrial monitors (see</w:t>
      </w:r>
      <w:r w:rsidR="00C27F99">
        <w:rPr>
          <w:rFonts w:cs="Arial"/>
          <w:szCs w:val="18"/>
        </w:rPr>
        <w:t> </w:t>
      </w:r>
      <w:r w:rsidRPr="00FA5A37">
        <w:rPr>
          <w:rFonts w:cs="Arial"/>
          <w:szCs w:val="18"/>
        </w:rPr>
        <w:t>instructions for Table A2);</w:t>
      </w:r>
    </w:p>
    <w:p w14:paraId="6D9F6E65" w14:textId="3C82F463" w:rsidR="00D46AC0" w:rsidRPr="00FA5A37" w:rsidRDefault="00D46AC0" w:rsidP="00BC7062">
      <w:pPr>
        <w:pStyle w:val="Form-Bodytext1"/>
        <w:numPr>
          <w:ilvl w:val="0"/>
          <w:numId w:val="20"/>
        </w:numPr>
        <w:rPr>
          <w:rFonts w:cs="Arial"/>
          <w:szCs w:val="18"/>
        </w:rPr>
      </w:pPr>
      <w:r w:rsidRPr="00FA5A37">
        <w:rPr>
          <w:rFonts w:cs="Arial"/>
          <w:szCs w:val="18"/>
        </w:rPr>
        <w:t xml:space="preserve">The facility has been operating the under conditions that are representative of permit allowable emissions (total facility actual emissions greater than or equal to 80% of limited </w:t>
      </w:r>
      <w:r w:rsidR="00374078" w:rsidRPr="00FA5A37">
        <w:rPr>
          <w:rFonts w:cs="Arial"/>
          <w:szCs w:val="18"/>
        </w:rPr>
        <w:t>potential</w:t>
      </w:r>
      <w:r w:rsidR="00605254" w:rsidRPr="00FA5A37">
        <w:rPr>
          <w:rFonts w:cs="Arial"/>
          <w:szCs w:val="18"/>
        </w:rPr>
        <w:t>-</w:t>
      </w:r>
      <w:r w:rsidR="00374078" w:rsidRPr="00FA5A37">
        <w:rPr>
          <w:rFonts w:cs="Arial"/>
          <w:szCs w:val="18"/>
        </w:rPr>
        <w:t>to</w:t>
      </w:r>
      <w:r w:rsidR="00605254" w:rsidRPr="00FA5A37">
        <w:rPr>
          <w:rFonts w:cs="Arial"/>
          <w:szCs w:val="18"/>
        </w:rPr>
        <w:t>-</w:t>
      </w:r>
      <w:r w:rsidR="00374078" w:rsidRPr="00FA5A37">
        <w:rPr>
          <w:rFonts w:cs="Arial"/>
          <w:szCs w:val="18"/>
        </w:rPr>
        <w:t>emit</w:t>
      </w:r>
      <w:r w:rsidRPr="00FA5A37">
        <w:rPr>
          <w:rFonts w:cs="Arial"/>
          <w:szCs w:val="18"/>
        </w:rPr>
        <w:t xml:space="preserve">). If not, the Permittee is willing to accept limits to reduce total facility limited </w:t>
      </w:r>
      <w:r w:rsidR="00374078" w:rsidRPr="00FA5A37">
        <w:rPr>
          <w:rFonts w:cs="Arial"/>
          <w:szCs w:val="18"/>
        </w:rPr>
        <w:t>potential</w:t>
      </w:r>
      <w:r w:rsidR="00605254" w:rsidRPr="00FA5A37">
        <w:rPr>
          <w:rFonts w:cs="Arial"/>
          <w:szCs w:val="18"/>
        </w:rPr>
        <w:t>-</w:t>
      </w:r>
      <w:r w:rsidR="00374078" w:rsidRPr="00FA5A37">
        <w:rPr>
          <w:rFonts w:cs="Arial"/>
          <w:szCs w:val="18"/>
        </w:rPr>
        <w:t>to</w:t>
      </w:r>
      <w:r w:rsidR="00605254" w:rsidRPr="00FA5A37">
        <w:rPr>
          <w:rFonts w:cs="Arial"/>
          <w:szCs w:val="18"/>
        </w:rPr>
        <w:t>-</w:t>
      </w:r>
      <w:r w:rsidR="00374078" w:rsidRPr="00FA5A37">
        <w:rPr>
          <w:rFonts w:cs="Arial"/>
          <w:szCs w:val="18"/>
        </w:rPr>
        <w:t>emit</w:t>
      </w:r>
      <w:r w:rsidRPr="00FA5A37">
        <w:rPr>
          <w:rFonts w:cs="Arial"/>
          <w:szCs w:val="18"/>
        </w:rPr>
        <w:t xml:space="preserve"> to be more representative of actual monitored emissions;</w:t>
      </w:r>
    </w:p>
    <w:p w14:paraId="185AFE39" w14:textId="70617B1F" w:rsidR="00D46AC0" w:rsidRPr="00FA5A37" w:rsidRDefault="00D46AC0" w:rsidP="00BC7062">
      <w:pPr>
        <w:pStyle w:val="Form-Bodytext1"/>
        <w:numPr>
          <w:ilvl w:val="0"/>
          <w:numId w:val="20"/>
        </w:numPr>
        <w:rPr>
          <w:rFonts w:cs="Arial"/>
          <w:szCs w:val="18"/>
        </w:rPr>
      </w:pPr>
      <w:r w:rsidRPr="00FA5A37">
        <w:rPr>
          <w:rFonts w:cs="Arial"/>
          <w:szCs w:val="18"/>
        </w:rPr>
        <w:t xml:space="preserve">There are no </w:t>
      </w:r>
      <w:r w:rsidR="00930127" w:rsidRPr="00FA5A37">
        <w:rPr>
          <w:rFonts w:cs="Arial"/>
          <w:szCs w:val="18"/>
        </w:rPr>
        <w:t xml:space="preserve">current or </w:t>
      </w:r>
      <w:r w:rsidRPr="00FA5A37">
        <w:rPr>
          <w:rFonts w:cs="Arial"/>
          <w:szCs w:val="18"/>
        </w:rPr>
        <w:t xml:space="preserve">recent enforcement actions against the </w:t>
      </w:r>
      <w:r w:rsidR="0083448A">
        <w:rPr>
          <w:rFonts w:cs="Arial"/>
          <w:szCs w:val="18"/>
        </w:rPr>
        <w:t>Permittee</w:t>
      </w:r>
      <w:r w:rsidRPr="00FA5A37">
        <w:rPr>
          <w:rFonts w:cs="Arial"/>
          <w:szCs w:val="18"/>
        </w:rPr>
        <w:t xml:space="preserve">; </w:t>
      </w:r>
      <w:r w:rsidR="00BC7062" w:rsidRPr="00FA5A37">
        <w:rPr>
          <w:rFonts w:cs="Arial"/>
          <w:szCs w:val="18"/>
        </w:rPr>
        <w:t>and</w:t>
      </w:r>
    </w:p>
    <w:p w14:paraId="68AEC878" w14:textId="7A8B8C18" w:rsidR="00D46AC0" w:rsidRPr="00FA5A37" w:rsidRDefault="00D46AC0" w:rsidP="00BC7062">
      <w:pPr>
        <w:pStyle w:val="Form-Bodytext1"/>
        <w:numPr>
          <w:ilvl w:val="0"/>
          <w:numId w:val="20"/>
        </w:numPr>
        <w:rPr>
          <w:rFonts w:cs="Arial"/>
          <w:szCs w:val="18"/>
        </w:rPr>
      </w:pPr>
      <w:r w:rsidRPr="00FA5A37">
        <w:rPr>
          <w:rFonts w:cs="Arial"/>
          <w:szCs w:val="18"/>
        </w:rPr>
        <w:t xml:space="preserve">The </w:t>
      </w:r>
      <w:r w:rsidR="0083448A">
        <w:rPr>
          <w:rFonts w:cs="Arial"/>
          <w:szCs w:val="18"/>
        </w:rPr>
        <w:t>Permittee</w:t>
      </w:r>
      <w:r w:rsidRPr="00FA5A37">
        <w:rPr>
          <w:rFonts w:cs="Arial"/>
          <w:szCs w:val="18"/>
        </w:rPr>
        <w:t xml:space="preserve"> </w:t>
      </w:r>
      <w:proofErr w:type="gramStart"/>
      <w:r w:rsidRPr="00FA5A37">
        <w:rPr>
          <w:rFonts w:cs="Arial"/>
          <w:szCs w:val="18"/>
        </w:rPr>
        <w:t>is in compliance with</w:t>
      </w:r>
      <w:proofErr w:type="gramEnd"/>
      <w:r w:rsidRPr="00FA5A37">
        <w:rPr>
          <w:rFonts w:cs="Arial"/>
          <w:szCs w:val="18"/>
        </w:rPr>
        <w:t xml:space="preserve"> its current air emissions permit. </w:t>
      </w:r>
    </w:p>
    <w:p w14:paraId="144D81EE" w14:textId="37A45A28" w:rsidR="00D46AC0" w:rsidRPr="00D46AC0" w:rsidRDefault="00D46AC0" w:rsidP="00D46AC0">
      <w:pPr>
        <w:pStyle w:val="Form-Heading3"/>
      </w:pPr>
      <w:r w:rsidRPr="00D46AC0">
        <w:t xml:space="preserve">Meeting the above criteria does not guarantee the approval of monitor off-ramping. The </w:t>
      </w:r>
      <w:r w:rsidR="00374078">
        <w:t>MPCA</w:t>
      </w:r>
      <w:r w:rsidRPr="00D46AC0">
        <w:t xml:space="preserve"> will consider additional data in the approval process, including:</w:t>
      </w:r>
    </w:p>
    <w:p w14:paraId="7C7E553C" w14:textId="6CB71C5E" w:rsidR="00D46AC0" w:rsidRPr="00D46AC0" w:rsidRDefault="00D46AC0" w:rsidP="00BC7062">
      <w:pPr>
        <w:pStyle w:val="Form-Bodytext1"/>
        <w:numPr>
          <w:ilvl w:val="0"/>
          <w:numId w:val="20"/>
        </w:numPr>
      </w:pPr>
      <w:r w:rsidRPr="00D46AC0">
        <w:t>Existing community concerns or concerns that arise during the public comment period;</w:t>
      </w:r>
    </w:p>
    <w:p w14:paraId="1598CD78" w14:textId="47C83B3B" w:rsidR="00D46AC0" w:rsidRPr="00D46AC0" w:rsidRDefault="00D46AC0" w:rsidP="00BC7062">
      <w:pPr>
        <w:pStyle w:val="Form-Bodytext1"/>
        <w:numPr>
          <w:ilvl w:val="0"/>
          <w:numId w:val="20"/>
        </w:numPr>
      </w:pPr>
      <w:r w:rsidRPr="00D46AC0">
        <w:t>Environmental Justice Areas of Concern;</w:t>
      </w:r>
    </w:p>
    <w:p w14:paraId="220F3303" w14:textId="679534A7" w:rsidR="00D46AC0" w:rsidRPr="00D46AC0" w:rsidRDefault="00D46AC0" w:rsidP="00BC7062">
      <w:pPr>
        <w:pStyle w:val="Form-Bodytext1"/>
        <w:numPr>
          <w:ilvl w:val="0"/>
          <w:numId w:val="20"/>
        </w:numPr>
      </w:pPr>
      <w:r w:rsidRPr="00D46AC0">
        <w:t>Proximity to schools, daycares, parks, hospitals, residents, or other sensitive properties/locations;</w:t>
      </w:r>
    </w:p>
    <w:p w14:paraId="3C24B954" w14:textId="3B2251B2" w:rsidR="00D46AC0" w:rsidRPr="00D46AC0" w:rsidRDefault="00D46AC0" w:rsidP="00BC7062">
      <w:pPr>
        <w:pStyle w:val="Form-Bodytext1"/>
        <w:numPr>
          <w:ilvl w:val="0"/>
          <w:numId w:val="20"/>
        </w:numPr>
      </w:pPr>
      <w:r w:rsidRPr="00D46AC0">
        <w:t>Facility is located or it is anticipated to be located in a SIP, non-attainment, or maintenance area</w:t>
      </w:r>
      <w:r w:rsidR="00911054">
        <w:t>.</w:t>
      </w:r>
    </w:p>
    <w:p w14:paraId="34AAEE0E" w14:textId="0DA8669A" w:rsidR="004C26E5" w:rsidRPr="00D46AC0" w:rsidRDefault="004C26E5" w:rsidP="004C26E5">
      <w:pPr>
        <w:pStyle w:val="Form-Heading3"/>
      </w:pPr>
      <w:r>
        <w:t>Instructions for calculating the</w:t>
      </w:r>
      <w:r w:rsidR="000352A5">
        <w:t xml:space="preserve"> upper</w:t>
      </w:r>
      <w:r>
        <w:t xml:space="preserve"> confidence </w:t>
      </w:r>
      <w:r w:rsidR="00380CBD">
        <w:t>limit</w:t>
      </w:r>
    </w:p>
    <w:p w14:paraId="1822D18F" w14:textId="48CF32CA" w:rsidR="00D46AC0" w:rsidRPr="00D46AC0" w:rsidRDefault="00D46AC0" w:rsidP="00D46AC0">
      <w:pPr>
        <w:pStyle w:val="Form-Bodytext1"/>
      </w:pPr>
      <w:r w:rsidRPr="00D46AC0">
        <w:t>There are several ways to calculate</w:t>
      </w:r>
      <w:r w:rsidR="004C26E5">
        <w:t xml:space="preserve"> the</w:t>
      </w:r>
      <w:r w:rsidRPr="00D46AC0">
        <w:t xml:space="preserve"> confidence </w:t>
      </w:r>
      <w:r w:rsidR="00380CBD">
        <w:t>limit</w:t>
      </w:r>
      <w:r w:rsidRPr="00D46AC0">
        <w:t xml:space="preserve"> necessary for determining eligibility. The following is an example derived from </w:t>
      </w:r>
      <w:r w:rsidRPr="00B22AC6">
        <w:rPr>
          <w:i/>
          <w:iCs/>
        </w:rPr>
        <w:t>Ambient Air Monitoring Network Assessment Guidance</w:t>
      </w:r>
      <w:r w:rsidRPr="00D46AC0">
        <w:t xml:space="preserve"> from the E</w:t>
      </w:r>
      <w:r w:rsidR="00D3152D">
        <w:t>nvironmental Protection Agency</w:t>
      </w:r>
      <w:r w:rsidRPr="00D46AC0">
        <w:t xml:space="preserve">. </w:t>
      </w:r>
      <w:r w:rsidR="00475DCB">
        <w:t xml:space="preserve">It requires the use of </w:t>
      </w:r>
      <w:r w:rsidR="002959EC">
        <w:t>three</w:t>
      </w:r>
      <w:r w:rsidR="00D3152D">
        <w:t> </w:t>
      </w:r>
      <w:r w:rsidR="00475DCB">
        <w:t>design values</w:t>
      </w:r>
      <w:r w:rsidR="009C35D8">
        <w:t xml:space="preserve"> (3 DV)</w:t>
      </w:r>
      <w:r w:rsidR="00475DCB">
        <w:t xml:space="preserve"> for the pollutants listed in Table B. </w:t>
      </w:r>
      <w:r w:rsidRPr="00D46AC0">
        <w:t xml:space="preserve">Alternate methods are acceptable if approved by </w:t>
      </w:r>
      <w:r w:rsidR="000352A5">
        <w:t xml:space="preserve">the </w:t>
      </w:r>
      <w:r w:rsidRPr="00D46AC0">
        <w:t>MPCA</w:t>
      </w:r>
      <w:r w:rsidR="000352A5">
        <w:t>.</w:t>
      </w:r>
    </w:p>
    <w:p w14:paraId="0ACE1745" w14:textId="5125050D" w:rsidR="00D46AC0" w:rsidRDefault="00B22AC6" w:rsidP="00BC7062">
      <w:pPr>
        <w:pStyle w:val="Form-Bodytext1"/>
      </w:pPr>
      <w:r>
        <w:t>Eligibility c</w:t>
      </w:r>
      <w:r w:rsidR="00D46AC0" w:rsidRPr="00D46AC0">
        <w:t xml:space="preserve">riteria 4 states that for a monitor to be considered for off ramping, the probability that the monitor will exceed 80% of the applicable NAAQS or MAAQS during the next three years is less than 10% based on the concentrations, trends, and variability observed in the data collected by the industrial monitors. The following equation can be used to determine if a site meets </w:t>
      </w:r>
      <w:r>
        <w:t xml:space="preserve">eligibility </w:t>
      </w:r>
      <w:r w:rsidR="00D46AC0" w:rsidRPr="00D46AC0">
        <w:t>criteria 4</w:t>
      </w:r>
      <w:r>
        <w:t>.</w:t>
      </w:r>
    </w:p>
    <w:p w14:paraId="7029F31E" w14:textId="77777777" w:rsidR="00374078" w:rsidRPr="00BC7062" w:rsidRDefault="00374078" w:rsidP="00BC7062">
      <w:pPr>
        <w:pStyle w:val="Form-Bodytext1"/>
        <w:spacing w:before="0"/>
        <w:rPr>
          <w:sz w:val="8"/>
          <w:szCs w:val="8"/>
        </w:rPr>
      </w:pPr>
    </w:p>
    <w:p w14:paraId="223C5251" w14:textId="638560EE" w:rsidR="00374078" w:rsidRPr="00374078" w:rsidRDefault="005B6E3F" w:rsidP="00374078">
      <w:pPr>
        <w:spacing w:line="257" w:lineRule="auto"/>
        <w:rPr>
          <w:rFonts w:cs="Arial"/>
          <w:sz w:val="24"/>
        </w:rPr>
      </w:pPr>
      <m:oMathPara>
        <m:oMath>
          <m:acc>
            <m:accPr>
              <m:chr m:val="̅"/>
              <m:ctrlPr>
                <w:rPr>
                  <w:rFonts w:ascii="Cambria Math" w:hAnsi="Cambria Math" w:cs="Arial"/>
                  <w:i/>
                  <w:sz w:val="24"/>
                </w:rPr>
              </m:ctrlPr>
            </m:accPr>
            <m:e>
              <m:r>
                <w:rPr>
                  <w:rFonts w:ascii="Cambria Math" w:hAnsi="Cambria Math" w:cs="Arial"/>
                  <w:sz w:val="24"/>
                </w:rPr>
                <m:t>X</m:t>
              </m:r>
            </m:e>
          </m:acc>
          <m:r>
            <w:rPr>
              <w:rFonts w:ascii="Cambria Math" w:hAnsi="Cambria Math" w:cs="Arial"/>
              <w:sz w:val="24"/>
            </w:rPr>
            <m:t xml:space="preserve">+ </m:t>
          </m:r>
          <m:f>
            <m:fPr>
              <m:ctrlPr>
                <w:rPr>
                  <w:rFonts w:ascii="Cambria Math" w:hAnsi="Cambria Math" w:cs="Arial"/>
                  <w:i/>
                  <w:sz w:val="24"/>
                </w:rPr>
              </m:ctrlPr>
            </m:fPr>
            <m:num>
              <m:r>
                <w:rPr>
                  <w:rFonts w:ascii="Cambria Math" w:hAnsi="Cambria Math" w:cs="Arial"/>
                  <w:sz w:val="24"/>
                </w:rPr>
                <m:t>t*s</m:t>
              </m:r>
            </m:num>
            <m:den>
              <m:rad>
                <m:radPr>
                  <m:degHide m:val="1"/>
                  <m:ctrlPr>
                    <w:rPr>
                      <w:rFonts w:ascii="Cambria Math" w:hAnsi="Cambria Math" w:cs="Arial"/>
                      <w:i/>
                      <w:sz w:val="24"/>
                    </w:rPr>
                  </m:ctrlPr>
                </m:radPr>
                <m:deg/>
                <m:e>
                  <m:r>
                    <w:rPr>
                      <w:rFonts w:ascii="Cambria Math" w:hAnsi="Cambria Math" w:cs="Arial"/>
                      <w:sz w:val="24"/>
                    </w:rPr>
                    <m:t>n</m:t>
                  </m:r>
                </m:e>
              </m:rad>
            </m:den>
          </m:f>
          <m:r>
            <w:rPr>
              <w:rFonts w:ascii="Cambria Math" w:hAnsi="Cambria Math" w:cs="Arial"/>
              <w:sz w:val="24"/>
            </w:rPr>
            <m:t>&lt;0.8*Standard</m:t>
          </m:r>
        </m:oMath>
      </m:oMathPara>
    </w:p>
    <w:p w14:paraId="2B0C288E" w14:textId="59AECEB1" w:rsidR="00D46AC0" w:rsidRPr="00374078" w:rsidRDefault="00D46AC0" w:rsidP="00374078">
      <w:pPr>
        <w:pStyle w:val="Form-Bodytext1"/>
      </w:pPr>
      <w:r w:rsidRPr="00374078">
        <w:t>Where:</w:t>
      </w:r>
    </w:p>
    <w:p w14:paraId="0C7CA3A9" w14:textId="75D80874" w:rsidR="00D46AC0" w:rsidRPr="00930127" w:rsidRDefault="005B6E3F" w:rsidP="00BC7062">
      <w:pPr>
        <w:pStyle w:val="Form-Bodytext1"/>
        <w:numPr>
          <w:ilvl w:val="0"/>
          <w:numId w:val="24"/>
        </w:numPr>
        <w:spacing w:before="60"/>
      </w:pPr>
      <m:oMath>
        <m:acc>
          <m:accPr>
            <m:chr m:val="̅"/>
            <m:ctrlPr>
              <w:rPr>
                <w:rFonts w:ascii="Cambria Math" w:hAnsi="Cambria Math"/>
                <w:sz w:val="20"/>
                <w:szCs w:val="22"/>
              </w:rPr>
            </m:ctrlPr>
          </m:accPr>
          <m:e>
            <m:r>
              <w:rPr>
                <w:rFonts w:ascii="Cambria Math" w:hAnsi="Cambria Math"/>
                <w:sz w:val="20"/>
                <w:szCs w:val="22"/>
              </w:rPr>
              <m:t>X</m:t>
            </m:r>
          </m:e>
        </m:acc>
        <m:r>
          <m:rPr>
            <m:sty m:val="p"/>
          </m:rPr>
          <w:rPr>
            <w:rFonts w:ascii="Cambria Math" w:hAnsi="Cambria Math"/>
            <w:sz w:val="20"/>
            <w:szCs w:val="22"/>
          </w:rPr>
          <m:t xml:space="preserve"> </m:t>
        </m:r>
      </m:oMath>
      <w:r w:rsidR="00D46AC0" w:rsidRPr="00930127">
        <w:t>is the average design value for all years of data available</w:t>
      </w:r>
    </w:p>
    <w:p w14:paraId="249F363B" w14:textId="7BC94326" w:rsidR="00D46AC0" w:rsidRPr="00930127" w:rsidRDefault="00D46AC0" w:rsidP="00BC7062">
      <w:pPr>
        <w:pStyle w:val="Form-Bodytext1"/>
        <w:numPr>
          <w:ilvl w:val="0"/>
          <w:numId w:val="24"/>
        </w:numPr>
        <w:spacing w:before="60"/>
      </w:pPr>
      <w:r w:rsidRPr="00930127">
        <w:t>t is the student’s t value for n-1 degrees of freedom at the 90% confidence level</w:t>
      </w:r>
    </w:p>
    <w:p w14:paraId="0AF032E1" w14:textId="07151933" w:rsidR="00D46AC0" w:rsidRPr="00930127" w:rsidRDefault="00D46AC0" w:rsidP="00BC7062">
      <w:pPr>
        <w:pStyle w:val="Form-Bodytext1"/>
        <w:numPr>
          <w:ilvl w:val="0"/>
          <w:numId w:val="24"/>
        </w:numPr>
        <w:spacing w:before="60"/>
      </w:pPr>
      <w:r w:rsidRPr="00930127">
        <w:t>s is the</w:t>
      </w:r>
      <w:r w:rsidR="000352A5">
        <w:t xml:space="preserve"> sample</w:t>
      </w:r>
      <w:r w:rsidRPr="00930127">
        <w:t xml:space="preserve"> standard deviation of the design value</w:t>
      </w:r>
    </w:p>
    <w:p w14:paraId="3BDC931E" w14:textId="78060E68" w:rsidR="00D46AC0" w:rsidRPr="00930127" w:rsidRDefault="00D46AC0" w:rsidP="00BC7062">
      <w:pPr>
        <w:pStyle w:val="Form-Bodytext1"/>
        <w:numPr>
          <w:ilvl w:val="0"/>
          <w:numId w:val="24"/>
        </w:numPr>
        <w:spacing w:before="60"/>
      </w:pPr>
      <w:r w:rsidRPr="00930127">
        <w:t>n is the number of design values</w:t>
      </w:r>
    </w:p>
    <w:p w14:paraId="36D5B0AD" w14:textId="34206105" w:rsidR="00B22AC6" w:rsidRDefault="00D46AC0" w:rsidP="00B22AC6">
      <w:pPr>
        <w:pStyle w:val="Form-Bodytext1"/>
      </w:pPr>
      <w:r w:rsidRPr="00B22AC6">
        <w:lastRenderedPageBreak/>
        <w:t xml:space="preserve">Table B provides the values for 80% of the standards. Use Table A1 to determine </w:t>
      </w:r>
      <w:r w:rsidRPr="00026C93">
        <w:rPr>
          <w:i/>
          <w:iCs/>
        </w:rPr>
        <w:t>n</w:t>
      </w:r>
      <w:r w:rsidRPr="00B22AC6">
        <w:t xml:space="preserve"> and </w:t>
      </w:r>
      <w:r w:rsidRPr="00026C93">
        <w:rPr>
          <w:i/>
          <w:iCs/>
        </w:rPr>
        <w:t>t</w:t>
      </w:r>
      <w:r w:rsidRPr="00B22AC6">
        <w:t xml:space="preserve"> in the above equation. Design values mean and standard deviation will need to be calculated separately by the facility. </w:t>
      </w:r>
    </w:p>
    <w:p w14:paraId="34E0315F" w14:textId="67D9A48C" w:rsidR="00B22AC6" w:rsidRPr="00B22AC6" w:rsidRDefault="00B22AC6" w:rsidP="00A60645">
      <w:pPr>
        <w:pStyle w:val="Form-Heading3"/>
        <w:jc w:val="center"/>
      </w:pPr>
      <w:r w:rsidRPr="00B22AC6">
        <w:t>Table A1</w:t>
      </w:r>
    </w:p>
    <w:tbl>
      <w:tblPr>
        <w:tblW w:w="3045" w:type="dxa"/>
        <w:jc w:val="center"/>
        <w:tblLayout w:type="fixed"/>
        <w:tblLook w:val="0000" w:firstRow="0" w:lastRow="0" w:firstColumn="0" w:lastColumn="0" w:noHBand="0" w:noVBand="0"/>
      </w:tblPr>
      <w:tblGrid>
        <w:gridCol w:w="1515"/>
        <w:gridCol w:w="1530"/>
      </w:tblGrid>
      <w:tr w:rsidR="00C27F99" w:rsidRPr="00BC7062" w14:paraId="79E2A2B9" w14:textId="77777777" w:rsidTr="00C27F99">
        <w:trPr>
          <w:trHeight w:val="450"/>
          <w:jc w:val="center"/>
        </w:trPr>
        <w:tc>
          <w:tcPr>
            <w:tcW w:w="1515" w:type="dxa"/>
            <w:tcBorders>
              <w:bottom w:val="single" w:sz="4" w:space="0" w:color="auto"/>
              <w:right w:val="single" w:sz="4" w:space="0" w:color="auto"/>
            </w:tcBorders>
            <w:vAlign w:val="bottom"/>
          </w:tcPr>
          <w:p w14:paraId="544B595B" w14:textId="25AEAB30" w:rsidR="00C27F99" w:rsidRPr="00BC7062" w:rsidRDefault="00C27F99" w:rsidP="00BC7062">
            <w:pPr>
              <w:jc w:val="center"/>
              <w:rPr>
                <w:rFonts w:cs="Arial"/>
                <w:sz w:val="16"/>
                <w:szCs w:val="16"/>
              </w:rPr>
            </w:pPr>
            <w:r w:rsidRPr="00BC7062">
              <w:rPr>
                <w:rFonts w:cs="Arial"/>
                <w:b/>
                <w:sz w:val="16"/>
                <w:szCs w:val="16"/>
              </w:rPr>
              <w:t>Degrees of Freedom (n-1)</w:t>
            </w:r>
          </w:p>
        </w:tc>
        <w:tc>
          <w:tcPr>
            <w:tcW w:w="1530" w:type="dxa"/>
            <w:tcBorders>
              <w:left w:val="single" w:sz="4" w:space="0" w:color="auto"/>
              <w:bottom w:val="single" w:sz="4" w:space="0" w:color="auto"/>
            </w:tcBorders>
            <w:vAlign w:val="bottom"/>
          </w:tcPr>
          <w:p w14:paraId="69AFE214" w14:textId="21CBDC8A" w:rsidR="00C27F99" w:rsidRPr="00BC7062" w:rsidRDefault="00C27F99" w:rsidP="00BC7062">
            <w:pPr>
              <w:jc w:val="center"/>
              <w:rPr>
                <w:rFonts w:cs="Arial"/>
                <w:sz w:val="16"/>
                <w:szCs w:val="16"/>
              </w:rPr>
            </w:pPr>
            <w:r w:rsidRPr="00BC7062">
              <w:rPr>
                <w:rFonts w:cs="Arial"/>
                <w:b/>
                <w:sz w:val="16"/>
                <w:szCs w:val="16"/>
              </w:rPr>
              <w:t>Student’s t value for 90% confidence</w:t>
            </w:r>
          </w:p>
        </w:tc>
      </w:tr>
      <w:tr w:rsidR="00C27F99" w:rsidRPr="00BC7062" w14:paraId="2C3B554B" w14:textId="77777777" w:rsidTr="00C27F99">
        <w:trPr>
          <w:jc w:val="center"/>
        </w:trPr>
        <w:tc>
          <w:tcPr>
            <w:tcW w:w="1515" w:type="dxa"/>
            <w:tcBorders>
              <w:top w:val="single" w:sz="4" w:space="0" w:color="auto"/>
              <w:bottom w:val="single" w:sz="2" w:space="0" w:color="auto"/>
              <w:right w:val="single" w:sz="4" w:space="0" w:color="auto"/>
            </w:tcBorders>
          </w:tcPr>
          <w:p w14:paraId="6562067A" w14:textId="1B3433AE" w:rsidR="00C27F99" w:rsidRPr="00BC7062" w:rsidRDefault="00C27F99" w:rsidP="00B22AC6">
            <w:pPr>
              <w:spacing w:before="120"/>
              <w:jc w:val="center"/>
              <w:rPr>
                <w:rFonts w:cs="Arial"/>
                <w:sz w:val="16"/>
                <w:szCs w:val="16"/>
              </w:rPr>
            </w:pPr>
            <w:r w:rsidRPr="00BC7062">
              <w:rPr>
                <w:rFonts w:cs="Arial"/>
                <w:sz w:val="16"/>
                <w:szCs w:val="16"/>
              </w:rPr>
              <w:t>1</w:t>
            </w:r>
          </w:p>
        </w:tc>
        <w:tc>
          <w:tcPr>
            <w:tcW w:w="1530" w:type="dxa"/>
            <w:tcBorders>
              <w:top w:val="single" w:sz="4" w:space="0" w:color="auto"/>
              <w:left w:val="single" w:sz="4" w:space="0" w:color="auto"/>
              <w:bottom w:val="single" w:sz="2" w:space="0" w:color="auto"/>
            </w:tcBorders>
          </w:tcPr>
          <w:p w14:paraId="7C9F6E0D" w14:textId="695AD3F1" w:rsidR="00C27F99" w:rsidRPr="00BC7062" w:rsidRDefault="00C27F99" w:rsidP="00B22AC6">
            <w:pPr>
              <w:spacing w:before="120"/>
              <w:jc w:val="center"/>
              <w:rPr>
                <w:rFonts w:cs="Arial"/>
                <w:sz w:val="16"/>
                <w:szCs w:val="16"/>
              </w:rPr>
            </w:pPr>
            <w:r w:rsidRPr="00BC7062">
              <w:rPr>
                <w:rFonts w:cs="Arial"/>
                <w:sz w:val="16"/>
                <w:szCs w:val="16"/>
              </w:rPr>
              <w:t>6.314</w:t>
            </w:r>
          </w:p>
        </w:tc>
      </w:tr>
      <w:tr w:rsidR="00C27F99" w:rsidRPr="00BC7062" w14:paraId="5E126CEA" w14:textId="77777777" w:rsidTr="00C27F99">
        <w:trPr>
          <w:jc w:val="center"/>
        </w:trPr>
        <w:tc>
          <w:tcPr>
            <w:tcW w:w="1515" w:type="dxa"/>
            <w:tcBorders>
              <w:top w:val="single" w:sz="2" w:space="0" w:color="auto"/>
              <w:bottom w:val="single" w:sz="2" w:space="0" w:color="auto"/>
              <w:right w:val="single" w:sz="4" w:space="0" w:color="auto"/>
            </w:tcBorders>
          </w:tcPr>
          <w:p w14:paraId="75C8813E" w14:textId="78AE1110" w:rsidR="00C27F99" w:rsidRPr="00BC7062" w:rsidRDefault="00C27F99" w:rsidP="00B22AC6">
            <w:pPr>
              <w:spacing w:before="120"/>
              <w:jc w:val="center"/>
              <w:rPr>
                <w:rFonts w:cs="Arial"/>
                <w:sz w:val="16"/>
                <w:szCs w:val="16"/>
              </w:rPr>
            </w:pPr>
            <w:r w:rsidRPr="00BC7062">
              <w:rPr>
                <w:rFonts w:cs="Arial"/>
                <w:sz w:val="16"/>
                <w:szCs w:val="16"/>
              </w:rPr>
              <w:t>2</w:t>
            </w:r>
          </w:p>
        </w:tc>
        <w:tc>
          <w:tcPr>
            <w:tcW w:w="1530" w:type="dxa"/>
            <w:tcBorders>
              <w:top w:val="single" w:sz="2" w:space="0" w:color="auto"/>
              <w:left w:val="single" w:sz="4" w:space="0" w:color="auto"/>
              <w:bottom w:val="single" w:sz="2" w:space="0" w:color="auto"/>
            </w:tcBorders>
          </w:tcPr>
          <w:p w14:paraId="28132F12" w14:textId="1BC41495" w:rsidR="00C27F99" w:rsidRPr="00BC7062" w:rsidRDefault="00C27F99" w:rsidP="00B22AC6">
            <w:pPr>
              <w:spacing w:before="120"/>
              <w:jc w:val="center"/>
              <w:rPr>
                <w:rFonts w:cs="Arial"/>
                <w:sz w:val="16"/>
                <w:szCs w:val="16"/>
              </w:rPr>
            </w:pPr>
            <w:r w:rsidRPr="00BC7062">
              <w:rPr>
                <w:rFonts w:cs="Arial"/>
                <w:sz w:val="16"/>
                <w:szCs w:val="16"/>
              </w:rPr>
              <w:t>2.920</w:t>
            </w:r>
          </w:p>
        </w:tc>
      </w:tr>
      <w:tr w:rsidR="00C27F99" w:rsidRPr="00BC7062" w14:paraId="76DC18B9" w14:textId="77777777" w:rsidTr="00C27F99">
        <w:trPr>
          <w:jc w:val="center"/>
        </w:trPr>
        <w:tc>
          <w:tcPr>
            <w:tcW w:w="1515" w:type="dxa"/>
            <w:tcBorders>
              <w:top w:val="single" w:sz="2" w:space="0" w:color="auto"/>
              <w:bottom w:val="single" w:sz="2" w:space="0" w:color="auto"/>
              <w:right w:val="single" w:sz="4" w:space="0" w:color="auto"/>
            </w:tcBorders>
          </w:tcPr>
          <w:p w14:paraId="2663D7E3" w14:textId="24CD746C" w:rsidR="00C27F99" w:rsidRPr="00BC7062" w:rsidRDefault="00C27F99" w:rsidP="00B22AC6">
            <w:pPr>
              <w:spacing w:before="120"/>
              <w:jc w:val="center"/>
              <w:rPr>
                <w:rFonts w:cs="Arial"/>
                <w:sz w:val="16"/>
                <w:szCs w:val="16"/>
              </w:rPr>
            </w:pPr>
            <w:r w:rsidRPr="00BC7062">
              <w:rPr>
                <w:rFonts w:cs="Arial"/>
                <w:sz w:val="16"/>
                <w:szCs w:val="16"/>
              </w:rPr>
              <w:t>3</w:t>
            </w:r>
          </w:p>
        </w:tc>
        <w:tc>
          <w:tcPr>
            <w:tcW w:w="1530" w:type="dxa"/>
            <w:tcBorders>
              <w:top w:val="single" w:sz="2" w:space="0" w:color="auto"/>
              <w:left w:val="single" w:sz="4" w:space="0" w:color="auto"/>
              <w:bottom w:val="single" w:sz="2" w:space="0" w:color="auto"/>
            </w:tcBorders>
          </w:tcPr>
          <w:p w14:paraId="5F5DF688" w14:textId="5F8147D5" w:rsidR="00C27F99" w:rsidRPr="00BC7062" w:rsidRDefault="00C27F99" w:rsidP="00B22AC6">
            <w:pPr>
              <w:spacing w:before="120"/>
              <w:jc w:val="center"/>
              <w:rPr>
                <w:rFonts w:cs="Arial"/>
                <w:sz w:val="16"/>
                <w:szCs w:val="16"/>
              </w:rPr>
            </w:pPr>
            <w:r w:rsidRPr="00BC7062">
              <w:rPr>
                <w:rFonts w:cs="Arial"/>
                <w:sz w:val="16"/>
                <w:szCs w:val="16"/>
              </w:rPr>
              <w:t>2.353</w:t>
            </w:r>
          </w:p>
        </w:tc>
      </w:tr>
      <w:tr w:rsidR="00C27F99" w:rsidRPr="00BC7062" w14:paraId="3138DF29" w14:textId="77777777" w:rsidTr="00C27F99">
        <w:trPr>
          <w:jc w:val="center"/>
        </w:trPr>
        <w:tc>
          <w:tcPr>
            <w:tcW w:w="1515" w:type="dxa"/>
            <w:tcBorders>
              <w:top w:val="single" w:sz="2" w:space="0" w:color="auto"/>
              <w:bottom w:val="single" w:sz="2" w:space="0" w:color="auto"/>
              <w:right w:val="single" w:sz="4" w:space="0" w:color="auto"/>
            </w:tcBorders>
          </w:tcPr>
          <w:p w14:paraId="3A15FB39" w14:textId="62EBEED3" w:rsidR="00C27F99" w:rsidRPr="00BC7062" w:rsidRDefault="00C27F99" w:rsidP="00B22AC6">
            <w:pPr>
              <w:spacing w:before="120"/>
              <w:jc w:val="center"/>
              <w:rPr>
                <w:rFonts w:cs="Arial"/>
                <w:sz w:val="16"/>
                <w:szCs w:val="16"/>
              </w:rPr>
            </w:pPr>
            <w:r w:rsidRPr="00BC7062">
              <w:rPr>
                <w:rFonts w:cs="Arial"/>
                <w:sz w:val="16"/>
                <w:szCs w:val="16"/>
              </w:rPr>
              <w:t>4</w:t>
            </w:r>
          </w:p>
        </w:tc>
        <w:tc>
          <w:tcPr>
            <w:tcW w:w="1530" w:type="dxa"/>
            <w:tcBorders>
              <w:top w:val="single" w:sz="2" w:space="0" w:color="auto"/>
              <w:left w:val="single" w:sz="4" w:space="0" w:color="auto"/>
              <w:bottom w:val="single" w:sz="2" w:space="0" w:color="auto"/>
            </w:tcBorders>
          </w:tcPr>
          <w:p w14:paraId="78539498" w14:textId="1E9D371F" w:rsidR="00C27F99" w:rsidRPr="00BC7062" w:rsidRDefault="00C27F99" w:rsidP="00B22AC6">
            <w:pPr>
              <w:spacing w:before="120"/>
              <w:jc w:val="center"/>
              <w:rPr>
                <w:rFonts w:cs="Arial"/>
                <w:sz w:val="16"/>
                <w:szCs w:val="16"/>
              </w:rPr>
            </w:pPr>
            <w:r w:rsidRPr="00BC7062">
              <w:rPr>
                <w:rFonts w:cs="Arial"/>
                <w:sz w:val="16"/>
                <w:szCs w:val="16"/>
              </w:rPr>
              <w:t>2.132</w:t>
            </w:r>
          </w:p>
        </w:tc>
      </w:tr>
      <w:tr w:rsidR="00C27F99" w:rsidRPr="00BC7062" w14:paraId="58609465" w14:textId="77777777" w:rsidTr="00C27F99">
        <w:trPr>
          <w:jc w:val="center"/>
        </w:trPr>
        <w:tc>
          <w:tcPr>
            <w:tcW w:w="1515" w:type="dxa"/>
            <w:tcBorders>
              <w:top w:val="single" w:sz="2" w:space="0" w:color="auto"/>
              <w:bottom w:val="single" w:sz="2" w:space="0" w:color="auto"/>
              <w:right w:val="single" w:sz="4" w:space="0" w:color="auto"/>
            </w:tcBorders>
          </w:tcPr>
          <w:p w14:paraId="46BCB314" w14:textId="01F99335" w:rsidR="00C27F99" w:rsidRPr="00BC7062" w:rsidRDefault="00C27F99" w:rsidP="00B22AC6">
            <w:pPr>
              <w:spacing w:before="120"/>
              <w:jc w:val="center"/>
              <w:rPr>
                <w:rFonts w:cs="Arial"/>
                <w:sz w:val="16"/>
                <w:szCs w:val="16"/>
              </w:rPr>
            </w:pPr>
            <w:r w:rsidRPr="00BC7062">
              <w:rPr>
                <w:rFonts w:cs="Arial"/>
                <w:sz w:val="16"/>
                <w:szCs w:val="16"/>
              </w:rPr>
              <w:t>5</w:t>
            </w:r>
          </w:p>
        </w:tc>
        <w:tc>
          <w:tcPr>
            <w:tcW w:w="1530" w:type="dxa"/>
            <w:tcBorders>
              <w:top w:val="single" w:sz="2" w:space="0" w:color="auto"/>
              <w:left w:val="single" w:sz="4" w:space="0" w:color="auto"/>
              <w:bottom w:val="single" w:sz="2" w:space="0" w:color="auto"/>
            </w:tcBorders>
          </w:tcPr>
          <w:p w14:paraId="502EF0E3" w14:textId="0602BBA0" w:rsidR="00C27F99" w:rsidRPr="00BC7062" w:rsidRDefault="00C27F99" w:rsidP="00B22AC6">
            <w:pPr>
              <w:spacing w:before="120"/>
              <w:jc w:val="center"/>
              <w:rPr>
                <w:rFonts w:cs="Arial"/>
                <w:sz w:val="16"/>
                <w:szCs w:val="16"/>
              </w:rPr>
            </w:pPr>
            <w:r w:rsidRPr="00BC7062">
              <w:rPr>
                <w:rFonts w:cs="Arial"/>
                <w:sz w:val="16"/>
                <w:szCs w:val="16"/>
              </w:rPr>
              <w:t>2.015</w:t>
            </w:r>
          </w:p>
        </w:tc>
      </w:tr>
      <w:tr w:rsidR="00C27F99" w:rsidRPr="00BC7062" w14:paraId="67CD1936" w14:textId="77777777" w:rsidTr="00C27F99">
        <w:trPr>
          <w:jc w:val="center"/>
        </w:trPr>
        <w:tc>
          <w:tcPr>
            <w:tcW w:w="1515" w:type="dxa"/>
            <w:tcBorders>
              <w:top w:val="single" w:sz="2" w:space="0" w:color="auto"/>
              <w:bottom w:val="single" w:sz="2" w:space="0" w:color="auto"/>
              <w:right w:val="single" w:sz="4" w:space="0" w:color="auto"/>
            </w:tcBorders>
          </w:tcPr>
          <w:p w14:paraId="3AABFD7B" w14:textId="7AAD36F0" w:rsidR="00C27F99" w:rsidRPr="00BC7062" w:rsidRDefault="00C27F99" w:rsidP="00B22AC6">
            <w:pPr>
              <w:spacing w:before="120"/>
              <w:jc w:val="center"/>
              <w:rPr>
                <w:rFonts w:cs="Arial"/>
                <w:sz w:val="16"/>
                <w:szCs w:val="16"/>
              </w:rPr>
            </w:pPr>
            <w:r w:rsidRPr="00BC7062">
              <w:rPr>
                <w:rFonts w:cs="Arial"/>
                <w:sz w:val="16"/>
                <w:szCs w:val="16"/>
              </w:rPr>
              <w:t>6</w:t>
            </w:r>
          </w:p>
        </w:tc>
        <w:tc>
          <w:tcPr>
            <w:tcW w:w="1530" w:type="dxa"/>
            <w:tcBorders>
              <w:top w:val="single" w:sz="2" w:space="0" w:color="auto"/>
              <w:left w:val="single" w:sz="4" w:space="0" w:color="auto"/>
              <w:bottom w:val="single" w:sz="2" w:space="0" w:color="auto"/>
            </w:tcBorders>
          </w:tcPr>
          <w:p w14:paraId="73283365" w14:textId="76C19E3E" w:rsidR="00C27F99" w:rsidRPr="00BC7062" w:rsidRDefault="00C27F99" w:rsidP="00B22AC6">
            <w:pPr>
              <w:spacing w:before="120"/>
              <w:jc w:val="center"/>
              <w:rPr>
                <w:rFonts w:cs="Arial"/>
                <w:sz w:val="16"/>
                <w:szCs w:val="16"/>
              </w:rPr>
            </w:pPr>
            <w:r w:rsidRPr="00BC7062">
              <w:rPr>
                <w:rFonts w:cs="Arial"/>
                <w:sz w:val="16"/>
                <w:szCs w:val="16"/>
              </w:rPr>
              <w:t>1.943</w:t>
            </w:r>
          </w:p>
        </w:tc>
      </w:tr>
      <w:tr w:rsidR="00C27F99" w:rsidRPr="00BC7062" w14:paraId="25898B20" w14:textId="77777777" w:rsidTr="00C27F99">
        <w:trPr>
          <w:jc w:val="center"/>
        </w:trPr>
        <w:tc>
          <w:tcPr>
            <w:tcW w:w="1515" w:type="dxa"/>
            <w:tcBorders>
              <w:top w:val="single" w:sz="2" w:space="0" w:color="auto"/>
              <w:bottom w:val="single" w:sz="2" w:space="0" w:color="auto"/>
              <w:right w:val="single" w:sz="4" w:space="0" w:color="auto"/>
            </w:tcBorders>
          </w:tcPr>
          <w:p w14:paraId="21425990" w14:textId="3A39B402" w:rsidR="00C27F99" w:rsidRPr="00BC7062" w:rsidRDefault="00C27F99" w:rsidP="00B22AC6">
            <w:pPr>
              <w:spacing w:before="120"/>
              <w:jc w:val="center"/>
              <w:rPr>
                <w:rFonts w:cs="Arial"/>
                <w:sz w:val="16"/>
                <w:szCs w:val="16"/>
              </w:rPr>
            </w:pPr>
            <w:r w:rsidRPr="00BC7062">
              <w:rPr>
                <w:rFonts w:cs="Arial"/>
                <w:sz w:val="16"/>
                <w:szCs w:val="16"/>
              </w:rPr>
              <w:t>7</w:t>
            </w:r>
          </w:p>
        </w:tc>
        <w:tc>
          <w:tcPr>
            <w:tcW w:w="1530" w:type="dxa"/>
            <w:tcBorders>
              <w:top w:val="single" w:sz="2" w:space="0" w:color="auto"/>
              <w:left w:val="single" w:sz="4" w:space="0" w:color="auto"/>
              <w:bottom w:val="single" w:sz="2" w:space="0" w:color="auto"/>
            </w:tcBorders>
          </w:tcPr>
          <w:p w14:paraId="0972BD63" w14:textId="61B1D784" w:rsidR="00C27F99" w:rsidRPr="00BC7062" w:rsidRDefault="00C27F99" w:rsidP="00B22AC6">
            <w:pPr>
              <w:spacing w:before="120"/>
              <w:jc w:val="center"/>
              <w:rPr>
                <w:rFonts w:cs="Arial"/>
                <w:sz w:val="16"/>
                <w:szCs w:val="16"/>
              </w:rPr>
            </w:pPr>
            <w:r w:rsidRPr="00BC7062">
              <w:rPr>
                <w:rFonts w:cs="Arial"/>
                <w:sz w:val="16"/>
                <w:szCs w:val="16"/>
              </w:rPr>
              <w:t>1.895</w:t>
            </w:r>
          </w:p>
        </w:tc>
      </w:tr>
    </w:tbl>
    <w:p w14:paraId="4EEAAA3B" w14:textId="5B8094D7" w:rsidR="00D46AC0" w:rsidRPr="00BC7062" w:rsidRDefault="00D46AC0" w:rsidP="00D46AC0">
      <w:pPr>
        <w:tabs>
          <w:tab w:val="left" w:pos="540"/>
        </w:tabs>
        <w:spacing w:before="120"/>
        <w:rPr>
          <w:rFonts w:cs="Arial"/>
          <w:sz w:val="4"/>
          <w:szCs w:val="4"/>
        </w:rPr>
      </w:pPr>
    </w:p>
    <w:p w14:paraId="02716FBA" w14:textId="2CC198C8" w:rsidR="00A60645" w:rsidRPr="00FA5A37" w:rsidRDefault="00D46AC0" w:rsidP="00BC7062">
      <w:pPr>
        <w:pStyle w:val="Form-Bodytext1"/>
        <w:keepNext/>
        <w:rPr>
          <w:b/>
          <w:bCs w:val="0"/>
          <w:sz w:val="20"/>
        </w:rPr>
      </w:pPr>
      <w:r w:rsidRPr="00FA5A37">
        <w:rPr>
          <w:b/>
          <w:bCs w:val="0"/>
          <w:sz w:val="20"/>
        </w:rPr>
        <w:t>Table A2 provides examples of this calculation using different standards and years of data.</w:t>
      </w:r>
    </w:p>
    <w:p w14:paraId="1A4196CB" w14:textId="74AE5567" w:rsidR="00A60645" w:rsidRPr="00B22AC6" w:rsidRDefault="00A60645" w:rsidP="00FA5A37">
      <w:pPr>
        <w:pStyle w:val="Form-Heading3"/>
        <w:jc w:val="center"/>
      </w:pPr>
      <w:r>
        <w:t>Table A2</w:t>
      </w:r>
    </w:p>
    <w:tbl>
      <w:tblPr>
        <w:tblW w:w="10005" w:type="dxa"/>
        <w:jc w:val="center"/>
        <w:tblLayout w:type="fixed"/>
        <w:tblLook w:val="0000" w:firstRow="0" w:lastRow="0" w:firstColumn="0" w:lastColumn="0" w:noHBand="0" w:noVBand="0"/>
      </w:tblPr>
      <w:tblGrid>
        <w:gridCol w:w="450"/>
        <w:gridCol w:w="1440"/>
        <w:gridCol w:w="630"/>
        <w:gridCol w:w="630"/>
        <w:gridCol w:w="630"/>
        <w:gridCol w:w="630"/>
        <w:gridCol w:w="630"/>
        <w:gridCol w:w="675"/>
        <w:gridCol w:w="675"/>
        <w:gridCol w:w="630"/>
        <w:gridCol w:w="630"/>
        <w:gridCol w:w="1177"/>
        <w:gridCol w:w="1178"/>
      </w:tblGrid>
      <w:tr w:rsidR="00C27F99" w:rsidRPr="00BC7062" w14:paraId="19FE55F1" w14:textId="77777777" w:rsidTr="00C27F99">
        <w:trPr>
          <w:trHeight w:val="432"/>
          <w:jc w:val="center"/>
        </w:trPr>
        <w:tc>
          <w:tcPr>
            <w:tcW w:w="450" w:type="dxa"/>
            <w:tcBorders>
              <w:bottom w:val="single" w:sz="4" w:space="0" w:color="auto"/>
              <w:right w:val="single" w:sz="4" w:space="0" w:color="auto"/>
            </w:tcBorders>
            <w:tcMar>
              <w:left w:w="43" w:type="dxa"/>
              <w:right w:w="43" w:type="dxa"/>
            </w:tcMar>
            <w:vAlign w:val="bottom"/>
          </w:tcPr>
          <w:p w14:paraId="7E6E6E54" w14:textId="77777777" w:rsidR="00C27F99" w:rsidRPr="00BC7062" w:rsidRDefault="00C27F99" w:rsidP="00C27F99">
            <w:pPr>
              <w:pStyle w:val="Form-Bodytext1"/>
              <w:spacing w:before="0"/>
              <w:jc w:val="center"/>
              <w:rPr>
                <w:rFonts w:cs="Arial"/>
                <w:b/>
                <w:bCs w:val="0"/>
                <w:sz w:val="16"/>
                <w:szCs w:val="16"/>
              </w:rPr>
            </w:pPr>
            <w:r w:rsidRPr="00BC7062">
              <w:rPr>
                <w:rFonts w:cs="Arial"/>
                <w:b/>
                <w:bCs w:val="0"/>
                <w:sz w:val="16"/>
                <w:szCs w:val="16"/>
              </w:rPr>
              <w:t>Site</w:t>
            </w:r>
          </w:p>
        </w:tc>
        <w:tc>
          <w:tcPr>
            <w:tcW w:w="1440" w:type="dxa"/>
            <w:tcBorders>
              <w:left w:val="single" w:sz="4" w:space="0" w:color="auto"/>
              <w:bottom w:val="single" w:sz="4" w:space="0" w:color="auto"/>
              <w:right w:val="single" w:sz="4" w:space="0" w:color="auto"/>
            </w:tcBorders>
            <w:tcMar>
              <w:left w:w="43" w:type="dxa"/>
              <w:right w:w="43" w:type="dxa"/>
            </w:tcMar>
            <w:vAlign w:val="bottom"/>
          </w:tcPr>
          <w:p w14:paraId="6D8B76B0" w14:textId="77777777" w:rsidR="00C27F99" w:rsidRPr="00BC7062" w:rsidRDefault="00C27F99" w:rsidP="00E73D4A">
            <w:pPr>
              <w:pStyle w:val="Form-Bodytext1"/>
              <w:spacing w:before="0"/>
              <w:rPr>
                <w:rFonts w:cs="Arial"/>
                <w:b/>
                <w:bCs w:val="0"/>
                <w:sz w:val="16"/>
                <w:szCs w:val="16"/>
              </w:rPr>
            </w:pPr>
            <w:r w:rsidRPr="00BC7062">
              <w:rPr>
                <w:rFonts w:cs="Arial"/>
                <w:b/>
                <w:bCs w:val="0"/>
                <w:sz w:val="16"/>
                <w:szCs w:val="16"/>
              </w:rPr>
              <w:t>Pollutant</w:t>
            </w:r>
          </w:p>
        </w:tc>
        <w:tc>
          <w:tcPr>
            <w:tcW w:w="630" w:type="dxa"/>
            <w:tcBorders>
              <w:left w:val="single" w:sz="4" w:space="0" w:color="auto"/>
              <w:bottom w:val="single" w:sz="4" w:space="0" w:color="auto"/>
              <w:right w:val="single" w:sz="4" w:space="0" w:color="auto"/>
            </w:tcBorders>
            <w:tcMar>
              <w:left w:w="43" w:type="dxa"/>
              <w:right w:w="43" w:type="dxa"/>
            </w:tcMar>
            <w:vAlign w:val="bottom"/>
          </w:tcPr>
          <w:p w14:paraId="1A55269D" w14:textId="77777777" w:rsidR="00C27F99" w:rsidRPr="00BC7062" w:rsidRDefault="00C27F99" w:rsidP="00C27F99">
            <w:pPr>
              <w:pStyle w:val="Form-Bodytext1"/>
              <w:spacing w:before="0"/>
              <w:jc w:val="center"/>
              <w:rPr>
                <w:rFonts w:cs="Arial"/>
                <w:b/>
                <w:bCs w:val="0"/>
                <w:sz w:val="16"/>
                <w:szCs w:val="16"/>
              </w:rPr>
            </w:pPr>
            <w:r w:rsidRPr="00BC7062">
              <w:rPr>
                <w:rFonts w:cs="Arial"/>
                <w:b/>
                <w:bCs w:val="0"/>
                <w:sz w:val="16"/>
                <w:szCs w:val="16"/>
              </w:rPr>
              <w:t>DV Year 1</w:t>
            </w:r>
          </w:p>
        </w:tc>
        <w:tc>
          <w:tcPr>
            <w:tcW w:w="630" w:type="dxa"/>
            <w:tcBorders>
              <w:left w:val="single" w:sz="4" w:space="0" w:color="auto"/>
              <w:bottom w:val="single" w:sz="4" w:space="0" w:color="auto"/>
              <w:right w:val="single" w:sz="4" w:space="0" w:color="auto"/>
            </w:tcBorders>
            <w:tcMar>
              <w:left w:w="43" w:type="dxa"/>
              <w:right w:w="43" w:type="dxa"/>
            </w:tcMar>
            <w:vAlign w:val="bottom"/>
          </w:tcPr>
          <w:p w14:paraId="4FB7256F" w14:textId="765F9911" w:rsidR="00C27F99" w:rsidRPr="00BC7062" w:rsidRDefault="00C27F99" w:rsidP="00C27F99">
            <w:pPr>
              <w:pStyle w:val="Form-Bodytext1"/>
              <w:spacing w:before="0"/>
              <w:jc w:val="center"/>
              <w:rPr>
                <w:rFonts w:cs="Arial"/>
                <w:b/>
                <w:bCs w:val="0"/>
                <w:sz w:val="16"/>
                <w:szCs w:val="16"/>
              </w:rPr>
            </w:pPr>
            <w:r w:rsidRPr="00BC7062">
              <w:rPr>
                <w:rFonts w:cs="Arial"/>
                <w:b/>
                <w:bCs w:val="0"/>
                <w:sz w:val="16"/>
                <w:szCs w:val="16"/>
              </w:rPr>
              <w:t>DV Year 2</w:t>
            </w:r>
          </w:p>
        </w:tc>
        <w:tc>
          <w:tcPr>
            <w:tcW w:w="630" w:type="dxa"/>
            <w:tcBorders>
              <w:left w:val="single" w:sz="4" w:space="0" w:color="auto"/>
              <w:bottom w:val="single" w:sz="4" w:space="0" w:color="auto"/>
              <w:right w:val="single" w:sz="4" w:space="0" w:color="auto"/>
            </w:tcBorders>
            <w:tcMar>
              <w:left w:w="43" w:type="dxa"/>
              <w:right w:w="43" w:type="dxa"/>
            </w:tcMar>
            <w:vAlign w:val="bottom"/>
          </w:tcPr>
          <w:p w14:paraId="4023E958" w14:textId="77777777" w:rsidR="00C27F99" w:rsidRPr="00BC7062" w:rsidRDefault="00C27F99" w:rsidP="00C27F99">
            <w:pPr>
              <w:pStyle w:val="Form-Bodytext1"/>
              <w:spacing w:before="0"/>
              <w:jc w:val="center"/>
              <w:rPr>
                <w:rFonts w:cs="Arial"/>
                <w:b/>
                <w:bCs w:val="0"/>
                <w:sz w:val="16"/>
                <w:szCs w:val="16"/>
              </w:rPr>
            </w:pPr>
            <w:r w:rsidRPr="00BC7062">
              <w:rPr>
                <w:rFonts w:cs="Arial"/>
                <w:b/>
                <w:bCs w:val="0"/>
                <w:sz w:val="16"/>
                <w:szCs w:val="16"/>
              </w:rPr>
              <w:t>DV Year 3</w:t>
            </w:r>
          </w:p>
        </w:tc>
        <w:tc>
          <w:tcPr>
            <w:tcW w:w="630" w:type="dxa"/>
            <w:tcBorders>
              <w:left w:val="single" w:sz="4" w:space="0" w:color="auto"/>
              <w:bottom w:val="single" w:sz="4" w:space="0" w:color="auto"/>
              <w:right w:val="single" w:sz="4" w:space="0" w:color="auto"/>
            </w:tcBorders>
            <w:tcMar>
              <w:left w:w="43" w:type="dxa"/>
              <w:right w:w="43" w:type="dxa"/>
            </w:tcMar>
            <w:vAlign w:val="bottom"/>
          </w:tcPr>
          <w:p w14:paraId="3CBB9C87" w14:textId="77777777" w:rsidR="00C27F99" w:rsidRPr="00BC7062" w:rsidRDefault="00C27F99" w:rsidP="00C27F99">
            <w:pPr>
              <w:pStyle w:val="Form-Bodytext1"/>
              <w:spacing w:before="0"/>
              <w:jc w:val="center"/>
              <w:rPr>
                <w:rFonts w:cs="Arial"/>
                <w:b/>
                <w:bCs w:val="0"/>
                <w:sz w:val="16"/>
                <w:szCs w:val="16"/>
              </w:rPr>
            </w:pPr>
            <w:r w:rsidRPr="00BC7062">
              <w:rPr>
                <w:rFonts w:cs="Arial"/>
                <w:b/>
                <w:bCs w:val="0"/>
                <w:sz w:val="16"/>
                <w:szCs w:val="16"/>
              </w:rPr>
              <w:t>DV Year 4</w:t>
            </w:r>
          </w:p>
        </w:tc>
        <w:tc>
          <w:tcPr>
            <w:tcW w:w="630" w:type="dxa"/>
            <w:tcBorders>
              <w:left w:val="single" w:sz="4" w:space="0" w:color="auto"/>
              <w:bottom w:val="single" w:sz="4" w:space="0" w:color="auto"/>
              <w:right w:val="single" w:sz="4" w:space="0" w:color="auto"/>
            </w:tcBorders>
            <w:tcMar>
              <w:left w:w="43" w:type="dxa"/>
              <w:right w:w="43" w:type="dxa"/>
            </w:tcMar>
            <w:vAlign w:val="bottom"/>
          </w:tcPr>
          <w:p w14:paraId="0470AC6E" w14:textId="77777777" w:rsidR="00C27F99" w:rsidRPr="00BC7062" w:rsidRDefault="00C27F99" w:rsidP="00C27F99">
            <w:pPr>
              <w:pStyle w:val="Form-Bodytext1"/>
              <w:spacing w:before="0"/>
              <w:jc w:val="center"/>
              <w:rPr>
                <w:rFonts w:cs="Arial"/>
                <w:b/>
                <w:bCs w:val="0"/>
                <w:sz w:val="16"/>
                <w:szCs w:val="16"/>
              </w:rPr>
            </w:pPr>
            <w:r w:rsidRPr="00BC7062">
              <w:rPr>
                <w:rFonts w:cs="Arial"/>
                <w:b/>
                <w:bCs w:val="0"/>
                <w:sz w:val="16"/>
                <w:szCs w:val="16"/>
              </w:rPr>
              <w:t>DV Year 5</w:t>
            </w:r>
          </w:p>
        </w:tc>
        <w:tc>
          <w:tcPr>
            <w:tcW w:w="675" w:type="dxa"/>
            <w:tcBorders>
              <w:left w:val="single" w:sz="4" w:space="0" w:color="auto"/>
              <w:bottom w:val="single" w:sz="4" w:space="0" w:color="auto"/>
              <w:right w:val="single" w:sz="4" w:space="0" w:color="auto"/>
            </w:tcBorders>
            <w:tcMar>
              <w:left w:w="43" w:type="dxa"/>
              <w:right w:w="43" w:type="dxa"/>
            </w:tcMar>
            <w:vAlign w:val="bottom"/>
          </w:tcPr>
          <w:p w14:paraId="7193B314" w14:textId="40D5D079" w:rsidR="00C27F99" w:rsidRPr="00BC7062" w:rsidRDefault="00C27F99" w:rsidP="00C27F99">
            <w:pPr>
              <w:pStyle w:val="Form-Bodytext1"/>
              <w:spacing w:before="0"/>
              <w:jc w:val="center"/>
              <w:rPr>
                <w:rFonts w:cs="Arial"/>
                <w:b/>
                <w:bCs w:val="0"/>
                <w:sz w:val="16"/>
                <w:szCs w:val="16"/>
              </w:rPr>
            </w:pPr>
            <w:r w:rsidRPr="00BC7062">
              <w:rPr>
                <w:rFonts w:cs="Arial"/>
                <w:b/>
                <w:bCs w:val="0"/>
                <w:sz w:val="16"/>
                <w:szCs w:val="16"/>
              </w:rPr>
              <w:t>Avg.</w:t>
            </w:r>
            <w:r>
              <w:rPr>
                <w:rFonts w:cs="Arial"/>
                <w:b/>
                <w:bCs w:val="0"/>
                <w:sz w:val="16"/>
                <w:szCs w:val="16"/>
              </w:rPr>
              <w:t xml:space="preserve"> </w:t>
            </w:r>
            <w:r w:rsidRPr="00BC7062">
              <w:rPr>
                <w:rFonts w:cs="Arial"/>
                <w:b/>
                <w:bCs w:val="0"/>
                <w:sz w:val="16"/>
                <w:szCs w:val="16"/>
              </w:rPr>
              <w:t>DV (</w:t>
            </w:r>
            <m:oMath>
              <m:acc>
                <m:accPr>
                  <m:chr m:val="̅"/>
                  <m:ctrlPr>
                    <w:rPr>
                      <w:rFonts w:ascii="Cambria Math" w:hAnsi="Cambria Math" w:cs="Arial"/>
                      <w:b/>
                      <w:bCs w:val="0"/>
                      <w:i/>
                      <w:sz w:val="16"/>
                      <w:szCs w:val="16"/>
                    </w:rPr>
                  </m:ctrlPr>
                </m:accPr>
                <m:e>
                  <m:r>
                    <m:rPr>
                      <m:sty m:val="bi"/>
                    </m:rPr>
                    <w:rPr>
                      <w:rFonts w:ascii="Cambria Math" w:hAnsi="Cambria Math" w:cs="Arial"/>
                      <w:sz w:val="16"/>
                      <w:szCs w:val="16"/>
                    </w:rPr>
                    <m:t>X</m:t>
                  </m:r>
                </m:e>
              </m:acc>
            </m:oMath>
            <w:r w:rsidRPr="00BC7062">
              <w:rPr>
                <w:rFonts w:cs="Arial"/>
                <w:b/>
                <w:bCs w:val="0"/>
                <w:sz w:val="16"/>
                <w:szCs w:val="16"/>
              </w:rPr>
              <w:t>)</w:t>
            </w:r>
          </w:p>
        </w:tc>
        <w:tc>
          <w:tcPr>
            <w:tcW w:w="675" w:type="dxa"/>
            <w:tcBorders>
              <w:left w:val="single" w:sz="4" w:space="0" w:color="auto"/>
              <w:bottom w:val="single" w:sz="4" w:space="0" w:color="auto"/>
              <w:right w:val="single" w:sz="4" w:space="0" w:color="auto"/>
            </w:tcBorders>
            <w:tcMar>
              <w:left w:w="43" w:type="dxa"/>
              <w:right w:w="43" w:type="dxa"/>
            </w:tcMar>
            <w:vAlign w:val="bottom"/>
          </w:tcPr>
          <w:p w14:paraId="4A49EC2B" w14:textId="77777777" w:rsidR="00C27F99" w:rsidRPr="00BC7062" w:rsidRDefault="00C27F99" w:rsidP="00C27F99">
            <w:pPr>
              <w:jc w:val="center"/>
              <w:rPr>
                <w:rFonts w:cs="Arial"/>
                <w:b/>
                <w:i/>
                <w:iCs/>
                <w:sz w:val="16"/>
                <w:szCs w:val="16"/>
              </w:rPr>
            </w:pPr>
            <w:r w:rsidRPr="00BC7062">
              <w:rPr>
                <w:rFonts w:cs="Arial"/>
                <w:b/>
                <w:bCs/>
                <w:sz w:val="16"/>
                <w:szCs w:val="16"/>
              </w:rPr>
              <w:t>Stand. Dev. (</w:t>
            </w:r>
            <w:r w:rsidRPr="00BC7062">
              <w:rPr>
                <w:rFonts w:cs="Arial"/>
                <w:b/>
                <w:bCs/>
                <w:i/>
                <w:iCs/>
                <w:sz w:val="16"/>
                <w:szCs w:val="16"/>
              </w:rPr>
              <w:t>s</w:t>
            </w:r>
            <w:r w:rsidRPr="00BC7062">
              <w:rPr>
                <w:rFonts w:cs="Arial"/>
                <w:b/>
                <w:bCs/>
                <w:sz w:val="16"/>
                <w:szCs w:val="16"/>
              </w:rPr>
              <w:t>)</w:t>
            </w:r>
          </w:p>
        </w:tc>
        <w:tc>
          <w:tcPr>
            <w:tcW w:w="630" w:type="dxa"/>
            <w:tcBorders>
              <w:left w:val="single" w:sz="4" w:space="0" w:color="auto"/>
              <w:bottom w:val="single" w:sz="4" w:space="0" w:color="auto"/>
              <w:right w:val="single" w:sz="4" w:space="0" w:color="auto"/>
            </w:tcBorders>
            <w:tcMar>
              <w:left w:w="43" w:type="dxa"/>
              <w:right w:w="43" w:type="dxa"/>
            </w:tcMar>
            <w:vAlign w:val="bottom"/>
          </w:tcPr>
          <w:p w14:paraId="10F608AA" w14:textId="77777777" w:rsidR="00C27F99" w:rsidRPr="00BC7062" w:rsidRDefault="00C27F99" w:rsidP="00C27F99">
            <w:pPr>
              <w:jc w:val="center"/>
              <w:rPr>
                <w:rFonts w:cs="Arial"/>
                <w:b/>
                <w:i/>
                <w:iCs/>
                <w:sz w:val="16"/>
                <w:szCs w:val="16"/>
              </w:rPr>
            </w:pPr>
            <w:r w:rsidRPr="00BC7062">
              <w:rPr>
                <w:rFonts w:cs="Arial"/>
                <w:b/>
                <w:bCs/>
                <w:i/>
                <w:iCs/>
                <w:sz w:val="16"/>
                <w:szCs w:val="16"/>
              </w:rPr>
              <w:t>t</w:t>
            </w:r>
          </w:p>
        </w:tc>
        <w:tc>
          <w:tcPr>
            <w:tcW w:w="630" w:type="dxa"/>
            <w:tcBorders>
              <w:left w:val="single" w:sz="4" w:space="0" w:color="auto"/>
              <w:bottom w:val="single" w:sz="4" w:space="0" w:color="auto"/>
              <w:right w:val="single" w:sz="4" w:space="0" w:color="auto"/>
            </w:tcBorders>
            <w:tcMar>
              <w:left w:w="43" w:type="dxa"/>
              <w:right w:w="43" w:type="dxa"/>
            </w:tcMar>
            <w:vAlign w:val="bottom"/>
          </w:tcPr>
          <w:p w14:paraId="49B70978" w14:textId="77777777" w:rsidR="00C27F99" w:rsidRPr="00BC7062" w:rsidRDefault="00C27F99" w:rsidP="00C27F99">
            <w:pPr>
              <w:jc w:val="center"/>
              <w:rPr>
                <w:rFonts w:cs="Arial"/>
                <w:b/>
                <w:bCs/>
                <w:i/>
                <w:iCs/>
                <w:sz w:val="16"/>
                <w:szCs w:val="16"/>
              </w:rPr>
            </w:pPr>
            <w:r w:rsidRPr="00BC7062">
              <w:rPr>
                <w:rFonts w:cs="Arial"/>
                <w:b/>
                <w:bCs/>
                <w:i/>
                <w:iCs/>
                <w:sz w:val="16"/>
                <w:szCs w:val="16"/>
              </w:rPr>
              <w:t>n</w:t>
            </w:r>
          </w:p>
        </w:tc>
        <w:tc>
          <w:tcPr>
            <w:tcW w:w="1177" w:type="dxa"/>
            <w:tcBorders>
              <w:left w:val="single" w:sz="4" w:space="0" w:color="auto"/>
              <w:bottom w:val="single" w:sz="4" w:space="0" w:color="auto"/>
              <w:right w:val="single" w:sz="4" w:space="0" w:color="auto"/>
            </w:tcBorders>
            <w:tcMar>
              <w:left w:w="43" w:type="dxa"/>
              <w:right w:w="43" w:type="dxa"/>
            </w:tcMar>
            <w:vAlign w:val="bottom"/>
          </w:tcPr>
          <w:p w14:paraId="0DF324C7" w14:textId="0A419896" w:rsidR="00C27F99" w:rsidRPr="00BC7062" w:rsidRDefault="00C27F99" w:rsidP="00C27F99">
            <w:pPr>
              <w:jc w:val="center"/>
              <w:rPr>
                <w:rFonts w:cs="Arial"/>
                <w:b/>
                <w:sz w:val="16"/>
                <w:szCs w:val="16"/>
              </w:rPr>
            </w:pPr>
            <w:r w:rsidRPr="00BC7062">
              <w:rPr>
                <w:rFonts w:cs="Arial"/>
                <w:b/>
                <w:bCs/>
                <w:sz w:val="16"/>
                <w:szCs w:val="16"/>
              </w:rPr>
              <w:t xml:space="preserve">90% Upper Confidence </w:t>
            </w:r>
            <w:r>
              <w:rPr>
                <w:rFonts w:cs="Arial"/>
                <w:b/>
                <w:bCs/>
                <w:sz w:val="16"/>
                <w:szCs w:val="16"/>
              </w:rPr>
              <w:t>Limit</w:t>
            </w:r>
          </w:p>
        </w:tc>
        <w:tc>
          <w:tcPr>
            <w:tcW w:w="1178" w:type="dxa"/>
            <w:tcBorders>
              <w:left w:val="single" w:sz="4" w:space="0" w:color="auto"/>
              <w:bottom w:val="single" w:sz="4" w:space="0" w:color="auto"/>
            </w:tcBorders>
            <w:tcMar>
              <w:left w:w="43" w:type="dxa"/>
              <w:right w:w="43" w:type="dxa"/>
            </w:tcMar>
            <w:vAlign w:val="bottom"/>
          </w:tcPr>
          <w:p w14:paraId="43D69426" w14:textId="77777777" w:rsidR="00C27F99" w:rsidRPr="00BC7062" w:rsidRDefault="00C27F99" w:rsidP="00C27F99">
            <w:pPr>
              <w:jc w:val="center"/>
              <w:rPr>
                <w:rFonts w:cs="Arial"/>
                <w:b/>
                <w:bCs/>
                <w:sz w:val="16"/>
                <w:szCs w:val="16"/>
              </w:rPr>
            </w:pPr>
            <w:r w:rsidRPr="00BC7062">
              <w:rPr>
                <w:rFonts w:cs="Arial"/>
                <w:b/>
                <w:bCs/>
                <w:sz w:val="16"/>
                <w:szCs w:val="16"/>
              </w:rPr>
              <w:t>80% of Applicable Standard</w:t>
            </w:r>
          </w:p>
        </w:tc>
      </w:tr>
      <w:tr w:rsidR="00C27F99" w:rsidRPr="00BC7062" w14:paraId="790D1D00" w14:textId="77777777" w:rsidTr="00C27F99">
        <w:trPr>
          <w:jc w:val="center"/>
        </w:trPr>
        <w:tc>
          <w:tcPr>
            <w:tcW w:w="450" w:type="dxa"/>
            <w:tcBorders>
              <w:top w:val="single" w:sz="4" w:space="0" w:color="auto"/>
              <w:bottom w:val="single" w:sz="2" w:space="0" w:color="auto"/>
              <w:right w:val="single" w:sz="4" w:space="0" w:color="auto"/>
            </w:tcBorders>
            <w:tcMar>
              <w:left w:w="43" w:type="dxa"/>
              <w:right w:w="43" w:type="dxa"/>
            </w:tcMar>
            <w:vAlign w:val="bottom"/>
          </w:tcPr>
          <w:p w14:paraId="5383A53D" w14:textId="3976483B" w:rsidR="00C27F99" w:rsidRPr="00BC7062" w:rsidRDefault="00C27F99" w:rsidP="00C27F99">
            <w:pPr>
              <w:spacing w:before="120"/>
              <w:jc w:val="center"/>
              <w:rPr>
                <w:rFonts w:cs="Arial"/>
                <w:sz w:val="16"/>
                <w:szCs w:val="16"/>
              </w:rPr>
            </w:pPr>
            <w:r w:rsidRPr="00BC7062">
              <w:rPr>
                <w:rFonts w:cs="Arial"/>
                <w:sz w:val="16"/>
                <w:szCs w:val="16"/>
              </w:rPr>
              <w:t>1</w:t>
            </w:r>
          </w:p>
        </w:tc>
        <w:tc>
          <w:tcPr>
            <w:tcW w:w="1440" w:type="dxa"/>
            <w:tcBorders>
              <w:top w:val="single" w:sz="4" w:space="0" w:color="auto"/>
              <w:left w:val="single" w:sz="4" w:space="0" w:color="auto"/>
              <w:bottom w:val="single" w:sz="2" w:space="0" w:color="auto"/>
              <w:right w:val="single" w:sz="4" w:space="0" w:color="auto"/>
            </w:tcBorders>
            <w:tcMar>
              <w:left w:w="43" w:type="dxa"/>
              <w:right w:w="43" w:type="dxa"/>
            </w:tcMar>
            <w:vAlign w:val="bottom"/>
          </w:tcPr>
          <w:p w14:paraId="7C6702DA" w14:textId="32FD838A" w:rsidR="00C27F99" w:rsidRPr="00BC7062" w:rsidRDefault="00C27F99" w:rsidP="00E73D4A">
            <w:pPr>
              <w:spacing w:before="120"/>
              <w:rPr>
                <w:rFonts w:cs="Arial"/>
                <w:sz w:val="16"/>
                <w:szCs w:val="16"/>
              </w:rPr>
            </w:pPr>
            <w:r w:rsidRPr="00BC7062">
              <w:rPr>
                <w:rFonts w:cs="Arial"/>
                <w:sz w:val="16"/>
                <w:szCs w:val="16"/>
              </w:rPr>
              <w:t>CO/8-hr</w:t>
            </w:r>
          </w:p>
        </w:tc>
        <w:tc>
          <w:tcPr>
            <w:tcW w:w="630" w:type="dxa"/>
            <w:tcBorders>
              <w:top w:val="single" w:sz="4" w:space="0" w:color="auto"/>
              <w:left w:val="single" w:sz="4" w:space="0" w:color="auto"/>
              <w:bottom w:val="single" w:sz="2" w:space="0" w:color="auto"/>
              <w:right w:val="single" w:sz="4" w:space="0" w:color="auto"/>
            </w:tcBorders>
            <w:tcMar>
              <w:left w:w="43" w:type="dxa"/>
              <w:right w:w="43" w:type="dxa"/>
            </w:tcMar>
            <w:vAlign w:val="bottom"/>
          </w:tcPr>
          <w:p w14:paraId="16E56267" w14:textId="3B6B3EBD" w:rsidR="00C27F99" w:rsidRPr="00BC7062" w:rsidRDefault="00C27F99" w:rsidP="00C27F99">
            <w:pPr>
              <w:spacing w:before="120"/>
              <w:jc w:val="center"/>
              <w:rPr>
                <w:rFonts w:cs="Arial"/>
                <w:sz w:val="16"/>
                <w:szCs w:val="16"/>
              </w:rPr>
            </w:pPr>
            <w:r w:rsidRPr="00BC7062">
              <w:rPr>
                <w:rFonts w:cs="Arial"/>
                <w:sz w:val="16"/>
                <w:szCs w:val="16"/>
              </w:rPr>
              <w:t>6.8</w:t>
            </w:r>
          </w:p>
        </w:tc>
        <w:tc>
          <w:tcPr>
            <w:tcW w:w="630" w:type="dxa"/>
            <w:tcBorders>
              <w:top w:val="single" w:sz="4" w:space="0" w:color="auto"/>
              <w:left w:val="single" w:sz="4" w:space="0" w:color="auto"/>
              <w:bottom w:val="single" w:sz="2" w:space="0" w:color="auto"/>
              <w:right w:val="single" w:sz="4" w:space="0" w:color="auto"/>
            </w:tcBorders>
            <w:tcMar>
              <w:left w:w="43" w:type="dxa"/>
              <w:right w:w="43" w:type="dxa"/>
            </w:tcMar>
            <w:vAlign w:val="bottom"/>
          </w:tcPr>
          <w:p w14:paraId="78FCD0F9" w14:textId="43D19AE7" w:rsidR="00C27F99" w:rsidRPr="00BC7062" w:rsidRDefault="00C27F99" w:rsidP="00C27F99">
            <w:pPr>
              <w:spacing w:before="120"/>
              <w:jc w:val="center"/>
              <w:rPr>
                <w:rFonts w:cs="Arial"/>
                <w:sz w:val="16"/>
                <w:szCs w:val="16"/>
              </w:rPr>
            </w:pPr>
            <w:r w:rsidRPr="00BC7062">
              <w:rPr>
                <w:rFonts w:cs="Arial"/>
                <w:sz w:val="16"/>
                <w:szCs w:val="16"/>
              </w:rPr>
              <w:t>7.2</w:t>
            </w:r>
          </w:p>
        </w:tc>
        <w:tc>
          <w:tcPr>
            <w:tcW w:w="630" w:type="dxa"/>
            <w:tcBorders>
              <w:top w:val="single" w:sz="4" w:space="0" w:color="auto"/>
              <w:left w:val="single" w:sz="4" w:space="0" w:color="auto"/>
              <w:bottom w:val="single" w:sz="2" w:space="0" w:color="auto"/>
              <w:right w:val="single" w:sz="4" w:space="0" w:color="auto"/>
            </w:tcBorders>
            <w:tcMar>
              <w:left w:w="43" w:type="dxa"/>
              <w:right w:w="43" w:type="dxa"/>
            </w:tcMar>
            <w:vAlign w:val="bottom"/>
          </w:tcPr>
          <w:p w14:paraId="15E9CC35" w14:textId="38FD0CFB" w:rsidR="00C27F99" w:rsidRPr="00BC7062" w:rsidRDefault="00C27F99" w:rsidP="00C27F99">
            <w:pPr>
              <w:spacing w:before="120"/>
              <w:jc w:val="center"/>
              <w:rPr>
                <w:rFonts w:cs="Arial"/>
                <w:sz w:val="16"/>
                <w:szCs w:val="16"/>
              </w:rPr>
            </w:pPr>
            <w:r w:rsidRPr="00BC7062">
              <w:rPr>
                <w:rFonts w:cs="Arial"/>
                <w:sz w:val="16"/>
                <w:szCs w:val="16"/>
              </w:rPr>
              <w:t>9.6</w:t>
            </w:r>
          </w:p>
        </w:tc>
        <w:tc>
          <w:tcPr>
            <w:tcW w:w="630" w:type="dxa"/>
            <w:tcBorders>
              <w:top w:val="single" w:sz="4" w:space="0" w:color="auto"/>
              <w:left w:val="single" w:sz="4" w:space="0" w:color="auto"/>
              <w:bottom w:val="single" w:sz="2" w:space="0" w:color="auto"/>
              <w:right w:val="single" w:sz="4" w:space="0" w:color="auto"/>
            </w:tcBorders>
            <w:tcMar>
              <w:left w:w="43" w:type="dxa"/>
              <w:right w:w="43" w:type="dxa"/>
            </w:tcMar>
            <w:vAlign w:val="bottom"/>
          </w:tcPr>
          <w:p w14:paraId="454BC886" w14:textId="6FE4623D" w:rsidR="00C27F99" w:rsidRPr="00BC7062" w:rsidRDefault="00C27F99" w:rsidP="00C27F99">
            <w:pPr>
              <w:spacing w:before="120"/>
              <w:jc w:val="center"/>
              <w:rPr>
                <w:rFonts w:cs="Arial"/>
                <w:sz w:val="16"/>
                <w:szCs w:val="16"/>
              </w:rPr>
            </w:pPr>
            <w:r w:rsidRPr="00BC7062">
              <w:rPr>
                <w:rFonts w:cs="Arial"/>
                <w:sz w:val="16"/>
                <w:szCs w:val="16"/>
              </w:rPr>
              <w:t>6.3</w:t>
            </w:r>
          </w:p>
        </w:tc>
        <w:tc>
          <w:tcPr>
            <w:tcW w:w="630" w:type="dxa"/>
            <w:tcBorders>
              <w:top w:val="single" w:sz="4" w:space="0" w:color="auto"/>
              <w:left w:val="single" w:sz="4" w:space="0" w:color="auto"/>
              <w:bottom w:val="single" w:sz="2" w:space="0" w:color="auto"/>
              <w:right w:val="single" w:sz="4" w:space="0" w:color="auto"/>
            </w:tcBorders>
            <w:tcMar>
              <w:left w:w="43" w:type="dxa"/>
              <w:right w:w="43" w:type="dxa"/>
            </w:tcMar>
            <w:vAlign w:val="bottom"/>
          </w:tcPr>
          <w:p w14:paraId="07588A29" w14:textId="087515A6" w:rsidR="00C27F99" w:rsidRPr="00BC7062" w:rsidRDefault="00C27F99" w:rsidP="00C27F99">
            <w:pPr>
              <w:spacing w:before="120"/>
              <w:jc w:val="center"/>
              <w:rPr>
                <w:rFonts w:cs="Arial"/>
                <w:sz w:val="16"/>
                <w:szCs w:val="16"/>
              </w:rPr>
            </w:pPr>
            <w:r w:rsidRPr="00BC7062">
              <w:rPr>
                <w:rFonts w:cs="Arial"/>
                <w:sz w:val="16"/>
                <w:szCs w:val="16"/>
              </w:rPr>
              <w:t>6.4</w:t>
            </w:r>
          </w:p>
        </w:tc>
        <w:tc>
          <w:tcPr>
            <w:tcW w:w="675" w:type="dxa"/>
            <w:tcBorders>
              <w:top w:val="single" w:sz="4" w:space="0" w:color="auto"/>
              <w:left w:val="single" w:sz="4" w:space="0" w:color="auto"/>
              <w:bottom w:val="single" w:sz="4" w:space="0" w:color="auto"/>
              <w:right w:val="single" w:sz="4" w:space="0" w:color="auto"/>
            </w:tcBorders>
            <w:tcMar>
              <w:left w:w="43" w:type="dxa"/>
              <w:right w:w="43" w:type="dxa"/>
            </w:tcMar>
            <w:vAlign w:val="bottom"/>
          </w:tcPr>
          <w:p w14:paraId="6AB8F353" w14:textId="3E2F406E" w:rsidR="00C27F99" w:rsidRPr="00BC7062" w:rsidRDefault="00C27F99" w:rsidP="00C27F99">
            <w:pPr>
              <w:spacing w:before="120"/>
              <w:jc w:val="center"/>
              <w:rPr>
                <w:rFonts w:cs="Arial"/>
                <w:sz w:val="16"/>
                <w:szCs w:val="16"/>
              </w:rPr>
            </w:pPr>
            <w:r w:rsidRPr="00BC7062">
              <w:rPr>
                <w:rFonts w:cs="Arial"/>
                <w:sz w:val="16"/>
                <w:szCs w:val="16"/>
              </w:rPr>
              <w:t>7.26</w:t>
            </w:r>
          </w:p>
        </w:tc>
        <w:tc>
          <w:tcPr>
            <w:tcW w:w="675" w:type="dxa"/>
            <w:tcBorders>
              <w:top w:val="single" w:sz="4" w:space="0" w:color="auto"/>
              <w:left w:val="single" w:sz="4" w:space="0" w:color="auto"/>
              <w:bottom w:val="single" w:sz="4" w:space="0" w:color="auto"/>
              <w:right w:val="single" w:sz="4" w:space="0" w:color="auto"/>
            </w:tcBorders>
            <w:tcMar>
              <w:left w:w="43" w:type="dxa"/>
              <w:right w:w="43" w:type="dxa"/>
            </w:tcMar>
            <w:vAlign w:val="bottom"/>
          </w:tcPr>
          <w:p w14:paraId="545BAC57" w14:textId="6B1AEAAB" w:rsidR="00C27F99" w:rsidRPr="00BC7062" w:rsidRDefault="00C27F99" w:rsidP="00C27F99">
            <w:pPr>
              <w:spacing w:before="120"/>
              <w:jc w:val="center"/>
              <w:rPr>
                <w:rFonts w:cs="Arial"/>
                <w:sz w:val="16"/>
                <w:szCs w:val="16"/>
              </w:rPr>
            </w:pPr>
            <w:r w:rsidRPr="00BC7062">
              <w:rPr>
                <w:rFonts w:cs="Arial"/>
                <w:sz w:val="16"/>
                <w:szCs w:val="16"/>
              </w:rPr>
              <w:t>1.35</w:t>
            </w:r>
          </w:p>
        </w:tc>
        <w:tc>
          <w:tcPr>
            <w:tcW w:w="630" w:type="dxa"/>
            <w:tcBorders>
              <w:top w:val="single" w:sz="4" w:space="0" w:color="auto"/>
              <w:left w:val="single" w:sz="4" w:space="0" w:color="auto"/>
              <w:bottom w:val="single" w:sz="4" w:space="0" w:color="auto"/>
              <w:right w:val="single" w:sz="4" w:space="0" w:color="auto"/>
            </w:tcBorders>
            <w:tcMar>
              <w:left w:w="43" w:type="dxa"/>
              <w:right w:w="43" w:type="dxa"/>
            </w:tcMar>
          </w:tcPr>
          <w:p w14:paraId="5BEF62BD" w14:textId="353C51F0" w:rsidR="00C27F99" w:rsidRPr="00BC7062" w:rsidRDefault="00C27F99" w:rsidP="00C27F99">
            <w:pPr>
              <w:spacing w:before="120"/>
              <w:jc w:val="center"/>
              <w:rPr>
                <w:rFonts w:cs="Arial"/>
                <w:sz w:val="16"/>
                <w:szCs w:val="16"/>
              </w:rPr>
            </w:pPr>
            <w:r w:rsidRPr="00BC7062">
              <w:rPr>
                <w:rFonts w:cs="Arial"/>
                <w:sz w:val="16"/>
                <w:szCs w:val="16"/>
              </w:rPr>
              <w:t>2.132</w:t>
            </w:r>
          </w:p>
        </w:tc>
        <w:tc>
          <w:tcPr>
            <w:tcW w:w="630" w:type="dxa"/>
            <w:tcBorders>
              <w:top w:val="single" w:sz="4" w:space="0" w:color="auto"/>
              <w:left w:val="single" w:sz="4" w:space="0" w:color="auto"/>
              <w:bottom w:val="single" w:sz="4" w:space="0" w:color="auto"/>
              <w:right w:val="single" w:sz="4" w:space="0" w:color="auto"/>
            </w:tcBorders>
            <w:tcMar>
              <w:left w:w="43" w:type="dxa"/>
              <w:right w:w="43" w:type="dxa"/>
            </w:tcMar>
          </w:tcPr>
          <w:p w14:paraId="09ABE466" w14:textId="435000C5" w:rsidR="00C27F99" w:rsidRPr="00BC7062" w:rsidRDefault="00C27F99" w:rsidP="00C27F99">
            <w:pPr>
              <w:spacing w:before="120"/>
              <w:jc w:val="center"/>
              <w:rPr>
                <w:rFonts w:cs="Arial"/>
                <w:sz w:val="16"/>
                <w:szCs w:val="16"/>
              </w:rPr>
            </w:pPr>
            <w:r w:rsidRPr="00BC7062">
              <w:rPr>
                <w:rFonts w:cs="Arial"/>
                <w:sz w:val="16"/>
                <w:szCs w:val="16"/>
              </w:rPr>
              <w:t>5</w:t>
            </w:r>
          </w:p>
        </w:tc>
        <w:tc>
          <w:tcPr>
            <w:tcW w:w="1177" w:type="dxa"/>
            <w:tcBorders>
              <w:top w:val="single" w:sz="4" w:space="0" w:color="auto"/>
              <w:left w:val="single" w:sz="4" w:space="0" w:color="auto"/>
              <w:bottom w:val="single" w:sz="4" w:space="0" w:color="auto"/>
              <w:right w:val="single" w:sz="4" w:space="0" w:color="auto"/>
            </w:tcBorders>
            <w:tcMar>
              <w:left w:w="43" w:type="dxa"/>
              <w:right w:w="43" w:type="dxa"/>
            </w:tcMar>
            <w:vAlign w:val="bottom"/>
          </w:tcPr>
          <w:p w14:paraId="2265DA93" w14:textId="49B25D3A" w:rsidR="00C27F99" w:rsidRPr="00BC7062" w:rsidRDefault="00C27F99" w:rsidP="00C27F99">
            <w:pPr>
              <w:spacing w:before="120"/>
              <w:jc w:val="center"/>
              <w:rPr>
                <w:rFonts w:cs="Arial"/>
                <w:sz w:val="16"/>
                <w:szCs w:val="16"/>
              </w:rPr>
            </w:pPr>
            <w:r w:rsidRPr="00BC7062">
              <w:rPr>
                <w:rFonts w:cs="Arial"/>
                <w:sz w:val="16"/>
                <w:szCs w:val="16"/>
              </w:rPr>
              <w:t>8.6</w:t>
            </w:r>
          </w:p>
        </w:tc>
        <w:tc>
          <w:tcPr>
            <w:tcW w:w="1178" w:type="dxa"/>
            <w:tcBorders>
              <w:top w:val="single" w:sz="4" w:space="0" w:color="auto"/>
              <w:left w:val="single" w:sz="4" w:space="0" w:color="auto"/>
              <w:bottom w:val="single" w:sz="4" w:space="0" w:color="auto"/>
            </w:tcBorders>
            <w:tcMar>
              <w:left w:w="43" w:type="dxa"/>
              <w:right w:w="43" w:type="dxa"/>
            </w:tcMar>
            <w:vAlign w:val="bottom"/>
          </w:tcPr>
          <w:p w14:paraId="387EF1C0" w14:textId="6A91E780" w:rsidR="00C27F99" w:rsidRPr="00BC7062" w:rsidRDefault="00C27F99" w:rsidP="00C27F99">
            <w:pPr>
              <w:spacing w:before="120"/>
              <w:jc w:val="center"/>
              <w:rPr>
                <w:rFonts w:cs="Arial"/>
                <w:sz w:val="16"/>
                <w:szCs w:val="16"/>
              </w:rPr>
            </w:pPr>
            <w:r w:rsidRPr="00BC7062">
              <w:rPr>
                <w:rFonts w:cs="Arial"/>
                <w:sz w:val="16"/>
                <w:szCs w:val="16"/>
              </w:rPr>
              <w:t>7.2</w:t>
            </w:r>
          </w:p>
        </w:tc>
      </w:tr>
      <w:tr w:rsidR="00C27F99" w:rsidRPr="00BC7062" w14:paraId="34E60226" w14:textId="77777777" w:rsidTr="00C27F99">
        <w:trPr>
          <w:jc w:val="center"/>
        </w:trPr>
        <w:tc>
          <w:tcPr>
            <w:tcW w:w="450" w:type="dxa"/>
            <w:tcBorders>
              <w:top w:val="single" w:sz="2" w:space="0" w:color="auto"/>
              <w:bottom w:val="single" w:sz="2" w:space="0" w:color="auto"/>
              <w:right w:val="single" w:sz="4" w:space="0" w:color="auto"/>
            </w:tcBorders>
            <w:tcMar>
              <w:left w:w="43" w:type="dxa"/>
              <w:right w:w="43" w:type="dxa"/>
            </w:tcMar>
            <w:vAlign w:val="bottom"/>
          </w:tcPr>
          <w:p w14:paraId="398B0153" w14:textId="50318789" w:rsidR="00C27F99" w:rsidRPr="00BC7062" w:rsidRDefault="00C27F99" w:rsidP="00C27F99">
            <w:pPr>
              <w:spacing w:before="120"/>
              <w:jc w:val="center"/>
              <w:rPr>
                <w:rFonts w:cs="Arial"/>
                <w:sz w:val="16"/>
                <w:szCs w:val="16"/>
              </w:rPr>
            </w:pPr>
            <w:r w:rsidRPr="00BC7062">
              <w:rPr>
                <w:rFonts w:cs="Arial"/>
                <w:sz w:val="16"/>
                <w:szCs w:val="16"/>
              </w:rPr>
              <w:t>2</w:t>
            </w:r>
          </w:p>
        </w:tc>
        <w:tc>
          <w:tcPr>
            <w:tcW w:w="1440" w:type="dxa"/>
            <w:tcBorders>
              <w:top w:val="single" w:sz="2" w:space="0" w:color="auto"/>
              <w:left w:val="single" w:sz="4" w:space="0" w:color="auto"/>
              <w:bottom w:val="single" w:sz="2" w:space="0" w:color="auto"/>
              <w:right w:val="single" w:sz="4" w:space="0" w:color="auto"/>
            </w:tcBorders>
            <w:tcMar>
              <w:left w:w="43" w:type="dxa"/>
              <w:right w:w="43" w:type="dxa"/>
            </w:tcMar>
            <w:vAlign w:val="bottom"/>
          </w:tcPr>
          <w:p w14:paraId="24BEA81E" w14:textId="55259620" w:rsidR="00C27F99" w:rsidRPr="00BC7062" w:rsidRDefault="00C27F99" w:rsidP="00E73D4A">
            <w:pPr>
              <w:spacing w:before="120"/>
              <w:rPr>
                <w:rFonts w:cs="Arial"/>
                <w:sz w:val="16"/>
                <w:szCs w:val="16"/>
              </w:rPr>
            </w:pPr>
            <w:r w:rsidRPr="00BC7062">
              <w:rPr>
                <w:rFonts w:cs="Arial"/>
                <w:sz w:val="16"/>
                <w:szCs w:val="16"/>
              </w:rPr>
              <w:t>PM2.5/annual</w:t>
            </w:r>
          </w:p>
        </w:tc>
        <w:tc>
          <w:tcPr>
            <w:tcW w:w="630" w:type="dxa"/>
            <w:tcBorders>
              <w:top w:val="single" w:sz="2" w:space="0" w:color="auto"/>
              <w:left w:val="single" w:sz="4" w:space="0" w:color="auto"/>
              <w:bottom w:val="single" w:sz="2" w:space="0" w:color="auto"/>
              <w:right w:val="single" w:sz="4" w:space="0" w:color="auto"/>
            </w:tcBorders>
            <w:tcMar>
              <w:left w:w="43" w:type="dxa"/>
              <w:right w:w="43" w:type="dxa"/>
            </w:tcMar>
            <w:vAlign w:val="bottom"/>
          </w:tcPr>
          <w:p w14:paraId="41444E01" w14:textId="2889744B" w:rsidR="00C27F99" w:rsidRPr="00BC7062" w:rsidRDefault="00C27F99" w:rsidP="00C27F99">
            <w:pPr>
              <w:spacing w:before="120"/>
              <w:jc w:val="center"/>
              <w:rPr>
                <w:rFonts w:cs="Arial"/>
                <w:sz w:val="16"/>
                <w:szCs w:val="16"/>
              </w:rPr>
            </w:pPr>
            <w:r w:rsidRPr="00BC7062">
              <w:rPr>
                <w:rFonts w:cs="Arial"/>
                <w:sz w:val="16"/>
                <w:szCs w:val="16"/>
              </w:rPr>
              <w:t>8.6</w:t>
            </w:r>
          </w:p>
        </w:tc>
        <w:tc>
          <w:tcPr>
            <w:tcW w:w="630" w:type="dxa"/>
            <w:tcBorders>
              <w:top w:val="single" w:sz="2" w:space="0" w:color="auto"/>
              <w:left w:val="single" w:sz="4" w:space="0" w:color="auto"/>
              <w:bottom w:val="single" w:sz="2" w:space="0" w:color="auto"/>
              <w:right w:val="single" w:sz="4" w:space="0" w:color="auto"/>
            </w:tcBorders>
            <w:tcMar>
              <w:left w:w="43" w:type="dxa"/>
              <w:right w:w="43" w:type="dxa"/>
            </w:tcMar>
            <w:vAlign w:val="bottom"/>
          </w:tcPr>
          <w:p w14:paraId="747164A9" w14:textId="30D09CB1" w:rsidR="00C27F99" w:rsidRPr="00BC7062" w:rsidRDefault="00C27F99" w:rsidP="00C27F99">
            <w:pPr>
              <w:spacing w:before="120"/>
              <w:jc w:val="center"/>
              <w:rPr>
                <w:rFonts w:cs="Arial"/>
                <w:sz w:val="16"/>
                <w:szCs w:val="16"/>
              </w:rPr>
            </w:pPr>
            <w:r w:rsidRPr="00BC7062">
              <w:rPr>
                <w:rFonts w:cs="Arial"/>
                <w:sz w:val="16"/>
                <w:szCs w:val="16"/>
              </w:rPr>
              <w:t>9.8</w:t>
            </w:r>
          </w:p>
        </w:tc>
        <w:tc>
          <w:tcPr>
            <w:tcW w:w="630" w:type="dxa"/>
            <w:tcBorders>
              <w:top w:val="single" w:sz="2" w:space="0" w:color="auto"/>
              <w:left w:val="single" w:sz="4" w:space="0" w:color="auto"/>
              <w:bottom w:val="single" w:sz="2" w:space="0" w:color="auto"/>
              <w:right w:val="single" w:sz="4" w:space="0" w:color="auto"/>
            </w:tcBorders>
            <w:tcMar>
              <w:left w:w="43" w:type="dxa"/>
              <w:right w:w="43" w:type="dxa"/>
            </w:tcMar>
            <w:vAlign w:val="bottom"/>
          </w:tcPr>
          <w:p w14:paraId="3D2FA19A" w14:textId="4AF2C8D2" w:rsidR="00C27F99" w:rsidRPr="00BC7062" w:rsidRDefault="00C27F99" w:rsidP="00C27F99">
            <w:pPr>
              <w:spacing w:before="120"/>
              <w:jc w:val="center"/>
              <w:rPr>
                <w:rFonts w:cs="Arial"/>
                <w:sz w:val="16"/>
                <w:szCs w:val="16"/>
              </w:rPr>
            </w:pPr>
            <w:r w:rsidRPr="00BC7062">
              <w:rPr>
                <w:rFonts w:cs="Arial"/>
                <w:sz w:val="16"/>
                <w:szCs w:val="16"/>
              </w:rPr>
              <w:t>7.5</w:t>
            </w:r>
          </w:p>
        </w:tc>
        <w:tc>
          <w:tcPr>
            <w:tcW w:w="630" w:type="dxa"/>
            <w:tcBorders>
              <w:top w:val="single" w:sz="2" w:space="0" w:color="auto"/>
              <w:left w:val="single" w:sz="4" w:space="0" w:color="auto"/>
              <w:bottom w:val="single" w:sz="2" w:space="0" w:color="auto"/>
              <w:right w:val="single" w:sz="4" w:space="0" w:color="auto"/>
            </w:tcBorders>
            <w:tcMar>
              <w:left w:w="43" w:type="dxa"/>
              <w:right w:w="43" w:type="dxa"/>
            </w:tcMar>
            <w:vAlign w:val="bottom"/>
          </w:tcPr>
          <w:p w14:paraId="675774AC" w14:textId="5F0EEB71" w:rsidR="00C27F99" w:rsidRPr="00BC7062" w:rsidRDefault="00C27F99" w:rsidP="00C27F99">
            <w:pPr>
              <w:spacing w:before="120"/>
              <w:jc w:val="center"/>
              <w:rPr>
                <w:rFonts w:cs="Arial"/>
                <w:sz w:val="16"/>
                <w:szCs w:val="16"/>
              </w:rPr>
            </w:pPr>
          </w:p>
        </w:tc>
        <w:tc>
          <w:tcPr>
            <w:tcW w:w="630" w:type="dxa"/>
            <w:tcBorders>
              <w:top w:val="single" w:sz="2" w:space="0" w:color="auto"/>
              <w:left w:val="single" w:sz="4" w:space="0" w:color="auto"/>
              <w:bottom w:val="single" w:sz="2" w:space="0" w:color="auto"/>
              <w:right w:val="single" w:sz="4" w:space="0" w:color="auto"/>
            </w:tcBorders>
            <w:tcMar>
              <w:left w:w="43" w:type="dxa"/>
              <w:right w:w="43" w:type="dxa"/>
            </w:tcMar>
            <w:vAlign w:val="bottom"/>
          </w:tcPr>
          <w:p w14:paraId="2123E19F" w14:textId="5A6B2F02" w:rsidR="00C27F99" w:rsidRPr="00BC7062" w:rsidRDefault="00C27F99" w:rsidP="00C27F99">
            <w:pPr>
              <w:spacing w:before="120"/>
              <w:jc w:val="center"/>
              <w:rPr>
                <w:rFonts w:cs="Arial"/>
                <w:sz w:val="16"/>
                <w:szCs w:val="16"/>
              </w:rPr>
            </w:pPr>
          </w:p>
        </w:tc>
        <w:tc>
          <w:tcPr>
            <w:tcW w:w="675" w:type="dxa"/>
            <w:tcBorders>
              <w:top w:val="single" w:sz="4" w:space="0" w:color="auto"/>
              <w:left w:val="single" w:sz="4" w:space="0" w:color="auto"/>
              <w:bottom w:val="single" w:sz="4" w:space="0" w:color="auto"/>
              <w:right w:val="single" w:sz="4" w:space="0" w:color="auto"/>
            </w:tcBorders>
            <w:tcMar>
              <w:left w:w="43" w:type="dxa"/>
              <w:right w:w="43" w:type="dxa"/>
            </w:tcMar>
            <w:vAlign w:val="bottom"/>
          </w:tcPr>
          <w:p w14:paraId="78936341" w14:textId="26DA7C30" w:rsidR="00C27F99" w:rsidRPr="00BC7062" w:rsidRDefault="00C27F99" w:rsidP="00C27F99">
            <w:pPr>
              <w:spacing w:before="120"/>
              <w:jc w:val="center"/>
              <w:rPr>
                <w:rFonts w:cs="Arial"/>
                <w:sz w:val="16"/>
                <w:szCs w:val="16"/>
              </w:rPr>
            </w:pPr>
            <w:r w:rsidRPr="00BC7062">
              <w:rPr>
                <w:rFonts w:cs="Arial"/>
                <w:sz w:val="16"/>
                <w:szCs w:val="16"/>
              </w:rPr>
              <w:t>8.633</w:t>
            </w:r>
          </w:p>
        </w:tc>
        <w:tc>
          <w:tcPr>
            <w:tcW w:w="675" w:type="dxa"/>
            <w:tcBorders>
              <w:top w:val="single" w:sz="4" w:space="0" w:color="auto"/>
              <w:left w:val="single" w:sz="4" w:space="0" w:color="auto"/>
              <w:bottom w:val="single" w:sz="4" w:space="0" w:color="auto"/>
              <w:right w:val="single" w:sz="4" w:space="0" w:color="auto"/>
            </w:tcBorders>
            <w:tcMar>
              <w:left w:w="43" w:type="dxa"/>
              <w:right w:w="43" w:type="dxa"/>
            </w:tcMar>
            <w:vAlign w:val="bottom"/>
          </w:tcPr>
          <w:p w14:paraId="4953B44A" w14:textId="44E4629B" w:rsidR="00C27F99" w:rsidRPr="00BC7062" w:rsidRDefault="00C27F99" w:rsidP="00C27F99">
            <w:pPr>
              <w:spacing w:before="120"/>
              <w:jc w:val="center"/>
              <w:rPr>
                <w:rFonts w:cs="Arial"/>
                <w:sz w:val="16"/>
                <w:szCs w:val="16"/>
              </w:rPr>
            </w:pPr>
            <w:r w:rsidRPr="00BC7062">
              <w:rPr>
                <w:rFonts w:cs="Arial"/>
                <w:sz w:val="16"/>
                <w:szCs w:val="16"/>
              </w:rPr>
              <w:t>0.939</w:t>
            </w:r>
          </w:p>
        </w:tc>
        <w:tc>
          <w:tcPr>
            <w:tcW w:w="630" w:type="dxa"/>
            <w:tcBorders>
              <w:top w:val="single" w:sz="4" w:space="0" w:color="auto"/>
              <w:left w:val="single" w:sz="4" w:space="0" w:color="auto"/>
              <w:bottom w:val="single" w:sz="4" w:space="0" w:color="auto"/>
              <w:right w:val="single" w:sz="4" w:space="0" w:color="auto"/>
            </w:tcBorders>
            <w:tcMar>
              <w:left w:w="43" w:type="dxa"/>
              <w:right w:w="43" w:type="dxa"/>
            </w:tcMar>
          </w:tcPr>
          <w:p w14:paraId="2B386881" w14:textId="77D322EA" w:rsidR="00C27F99" w:rsidRPr="00BC7062" w:rsidRDefault="00C27F99" w:rsidP="00C27F99">
            <w:pPr>
              <w:spacing w:before="120"/>
              <w:jc w:val="center"/>
              <w:rPr>
                <w:rFonts w:cs="Arial"/>
                <w:sz w:val="16"/>
                <w:szCs w:val="16"/>
              </w:rPr>
            </w:pPr>
            <w:r w:rsidRPr="00BC7062">
              <w:rPr>
                <w:rFonts w:cs="Arial"/>
                <w:sz w:val="16"/>
                <w:szCs w:val="16"/>
              </w:rPr>
              <w:t>2.920</w:t>
            </w:r>
          </w:p>
        </w:tc>
        <w:tc>
          <w:tcPr>
            <w:tcW w:w="630" w:type="dxa"/>
            <w:tcBorders>
              <w:top w:val="single" w:sz="4" w:space="0" w:color="auto"/>
              <w:left w:val="single" w:sz="4" w:space="0" w:color="auto"/>
              <w:bottom w:val="single" w:sz="4" w:space="0" w:color="auto"/>
              <w:right w:val="single" w:sz="4" w:space="0" w:color="auto"/>
            </w:tcBorders>
            <w:tcMar>
              <w:left w:w="43" w:type="dxa"/>
              <w:right w:w="43" w:type="dxa"/>
            </w:tcMar>
          </w:tcPr>
          <w:p w14:paraId="2E0DECBD" w14:textId="58FC03B7" w:rsidR="00C27F99" w:rsidRPr="00BC7062" w:rsidRDefault="00C27F99" w:rsidP="00C27F99">
            <w:pPr>
              <w:spacing w:before="120"/>
              <w:jc w:val="center"/>
              <w:rPr>
                <w:rFonts w:cs="Arial"/>
                <w:sz w:val="16"/>
                <w:szCs w:val="16"/>
              </w:rPr>
            </w:pPr>
            <w:r w:rsidRPr="00BC7062">
              <w:rPr>
                <w:rFonts w:cs="Arial"/>
                <w:sz w:val="16"/>
                <w:szCs w:val="16"/>
              </w:rPr>
              <w:t>3</w:t>
            </w:r>
          </w:p>
        </w:tc>
        <w:tc>
          <w:tcPr>
            <w:tcW w:w="1177" w:type="dxa"/>
            <w:tcBorders>
              <w:top w:val="single" w:sz="4" w:space="0" w:color="auto"/>
              <w:left w:val="single" w:sz="4" w:space="0" w:color="auto"/>
              <w:bottom w:val="single" w:sz="4" w:space="0" w:color="auto"/>
              <w:right w:val="single" w:sz="4" w:space="0" w:color="auto"/>
            </w:tcBorders>
            <w:tcMar>
              <w:left w:w="43" w:type="dxa"/>
              <w:right w:w="43" w:type="dxa"/>
            </w:tcMar>
            <w:vAlign w:val="bottom"/>
          </w:tcPr>
          <w:p w14:paraId="673FDA43" w14:textId="6F4FEE9A" w:rsidR="00C27F99" w:rsidRPr="00BC7062" w:rsidRDefault="00C27F99" w:rsidP="00C27F99">
            <w:pPr>
              <w:spacing w:before="120"/>
              <w:jc w:val="center"/>
              <w:rPr>
                <w:rFonts w:cs="Arial"/>
                <w:sz w:val="16"/>
                <w:szCs w:val="16"/>
              </w:rPr>
            </w:pPr>
            <w:r w:rsidRPr="00BC7062">
              <w:rPr>
                <w:rFonts w:cs="Arial"/>
                <w:sz w:val="16"/>
                <w:szCs w:val="16"/>
              </w:rPr>
              <w:t>10.217</w:t>
            </w:r>
          </w:p>
        </w:tc>
        <w:tc>
          <w:tcPr>
            <w:tcW w:w="1178" w:type="dxa"/>
            <w:tcBorders>
              <w:top w:val="single" w:sz="4" w:space="0" w:color="auto"/>
              <w:left w:val="single" w:sz="4" w:space="0" w:color="auto"/>
              <w:bottom w:val="single" w:sz="4" w:space="0" w:color="auto"/>
            </w:tcBorders>
            <w:tcMar>
              <w:left w:w="43" w:type="dxa"/>
              <w:right w:w="43" w:type="dxa"/>
            </w:tcMar>
            <w:vAlign w:val="bottom"/>
          </w:tcPr>
          <w:p w14:paraId="17A520BF" w14:textId="3D2677BB" w:rsidR="00C27F99" w:rsidRPr="00BC7062" w:rsidRDefault="00C27F99" w:rsidP="00C27F99">
            <w:pPr>
              <w:spacing w:before="120"/>
              <w:jc w:val="center"/>
              <w:rPr>
                <w:rFonts w:cs="Arial"/>
                <w:sz w:val="16"/>
                <w:szCs w:val="16"/>
              </w:rPr>
            </w:pPr>
            <w:r w:rsidRPr="00BC7062">
              <w:rPr>
                <w:rFonts w:cs="Arial"/>
                <w:sz w:val="16"/>
                <w:szCs w:val="16"/>
              </w:rPr>
              <w:t>9.6</w:t>
            </w:r>
          </w:p>
        </w:tc>
      </w:tr>
      <w:tr w:rsidR="00C27F99" w:rsidRPr="00BC7062" w14:paraId="595578DE" w14:textId="77777777" w:rsidTr="00C27F99">
        <w:trPr>
          <w:jc w:val="center"/>
        </w:trPr>
        <w:tc>
          <w:tcPr>
            <w:tcW w:w="450" w:type="dxa"/>
            <w:tcBorders>
              <w:top w:val="single" w:sz="2" w:space="0" w:color="auto"/>
              <w:bottom w:val="single" w:sz="2" w:space="0" w:color="auto"/>
              <w:right w:val="single" w:sz="4" w:space="0" w:color="auto"/>
            </w:tcBorders>
            <w:tcMar>
              <w:left w:w="43" w:type="dxa"/>
              <w:right w:w="43" w:type="dxa"/>
            </w:tcMar>
            <w:vAlign w:val="bottom"/>
          </w:tcPr>
          <w:p w14:paraId="06ACC718" w14:textId="2DA55269" w:rsidR="00C27F99" w:rsidRPr="00BC7062" w:rsidRDefault="00C27F99" w:rsidP="00C27F99">
            <w:pPr>
              <w:spacing w:before="120"/>
              <w:jc w:val="center"/>
              <w:rPr>
                <w:rFonts w:cs="Arial"/>
                <w:sz w:val="16"/>
                <w:szCs w:val="16"/>
              </w:rPr>
            </w:pPr>
            <w:r w:rsidRPr="00BC7062">
              <w:rPr>
                <w:rFonts w:cs="Arial"/>
                <w:sz w:val="16"/>
                <w:szCs w:val="16"/>
              </w:rPr>
              <w:t>2</w:t>
            </w:r>
          </w:p>
        </w:tc>
        <w:tc>
          <w:tcPr>
            <w:tcW w:w="1440" w:type="dxa"/>
            <w:tcBorders>
              <w:top w:val="single" w:sz="2" w:space="0" w:color="auto"/>
              <w:left w:val="single" w:sz="4" w:space="0" w:color="auto"/>
              <w:bottom w:val="single" w:sz="2" w:space="0" w:color="auto"/>
              <w:right w:val="single" w:sz="4" w:space="0" w:color="auto"/>
            </w:tcBorders>
            <w:tcMar>
              <w:left w:w="43" w:type="dxa"/>
              <w:right w:w="43" w:type="dxa"/>
            </w:tcMar>
            <w:vAlign w:val="bottom"/>
          </w:tcPr>
          <w:p w14:paraId="2D5E8B5B" w14:textId="6C20610E" w:rsidR="00C27F99" w:rsidRPr="00BC7062" w:rsidRDefault="00C27F99" w:rsidP="00E73D4A">
            <w:pPr>
              <w:spacing w:before="120"/>
              <w:rPr>
                <w:rFonts w:cs="Arial"/>
                <w:sz w:val="16"/>
                <w:szCs w:val="16"/>
              </w:rPr>
            </w:pPr>
            <w:r w:rsidRPr="00BC7062">
              <w:rPr>
                <w:rFonts w:cs="Arial"/>
                <w:sz w:val="16"/>
                <w:szCs w:val="16"/>
              </w:rPr>
              <w:t>PM2.5/annual</w:t>
            </w:r>
          </w:p>
        </w:tc>
        <w:tc>
          <w:tcPr>
            <w:tcW w:w="630" w:type="dxa"/>
            <w:tcBorders>
              <w:top w:val="single" w:sz="2" w:space="0" w:color="auto"/>
              <w:left w:val="single" w:sz="4" w:space="0" w:color="auto"/>
              <w:bottom w:val="single" w:sz="2" w:space="0" w:color="auto"/>
              <w:right w:val="single" w:sz="4" w:space="0" w:color="auto"/>
            </w:tcBorders>
            <w:tcMar>
              <w:left w:w="43" w:type="dxa"/>
              <w:right w:w="43" w:type="dxa"/>
            </w:tcMar>
            <w:vAlign w:val="bottom"/>
          </w:tcPr>
          <w:p w14:paraId="1F14FF46" w14:textId="60E21AEF" w:rsidR="00C27F99" w:rsidRPr="00BC7062" w:rsidRDefault="00C27F99" w:rsidP="00C27F99">
            <w:pPr>
              <w:spacing w:before="120"/>
              <w:jc w:val="center"/>
              <w:rPr>
                <w:rFonts w:cs="Arial"/>
                <w:sz w:val="16"/>
                <w:szCs w:val="16"/>
              </w:rPr>
            </w:pPr>
            <w:r w:rsidRPr="00BC7062">
              <w:rPr>
                <w:rFonts w:cs="Arial"/>
                <w:sz w:val="16"/>
                <w:szCs w:val="16"/>
              </w:rPr>
              <w:t>8.6</w:t>
            </w:r>
          </w:p>
        </w:tc>
        <w:tc>
          <w:tcPr>
            <w:tcW w:w="630" w:type="dxa"/>
            <w:tcBorders>
              <w:top w:val="single" w:sz="2" w:space="0" w:color="auto"/>
              <w:left w:val="single" w:sz="4" w:space="0" w:color="auto"/>
              <w:bottom w:val="single" w:sz="2" w:space="0" w:color="auto"/>
              <w:right w:val="single" w:sz="4" w:space="0" w:color="auto"/>
            </w:tcBorders>
            <w:tcMar>
              <w:left w:w="43" w:type="dxa"/>
              <w:right w:w="43" w:type="dxa"/>
            </w:tcMar>
            <w:vAlign w:val="bottom"/>
          </w:tcPr>
          <w:p w14:paraId="0391D269" w14:textId="3D535074" w:rsidR="00C27F99" w:rsidRPr="00BC7062" w:rsidRDefault="00C27F99" w:rsidP="00C27F99">
            <w:pPr>
              <w:spacing w:before="120"/>
              <w:jc w:val="center"/>
              <w:rPr>
                <w:rFonts w:cs="Arial"/>
                <w:sz w:val="16"/>
                <w:szCs w:val="16"/>
              </w:rPr>
            </w:pPr>
            <w:r w:rsidRPr="00BC7062">
              <w:rPr>
                <w:rFonts w:cs="Arial"/>
                <w:sz w:val="16"/>
                <w:szCs w:val="16"/>
              </w:rPr>
              <w:t>9.8</w:t>
            </w:r>
          </w:p>
        </w:tc>
        <w:tc>
          <w:tcPr>
            <w:tcW w:w="630" w:type="dxa"/>
            <w:tcBorders>
              <w:top w:val="single" w:sz="2" w:space="0" w:color="auto"/>
              <w:left w:val="single" w:sz="4" w:space="0" w:color="auto"/>
              <w:bottom w:val="single" w:sz="2" w:space="0" w:color="auto"/>
              <w:right w:val="single" w:sz="4" w:space="0" w:color="auto"/>
            </w:tcBorders>
            <w:tcMar>
              <w:left w:w="43" w:type="dxa"/>
              <w:right w:w="43" w:type="dxa"/>
            </w:tcMar>
            <w:vAlign w:val="bottom"/>
          </w:tcPr>
          <w:p w14:paraId="0C41BF8B" w14:textId="4F1A2131" w:rsidR="00C27F99" w:rsidRPr="00BC7062" w:rsidRDefault="00C27F99" w:rsidP="00C27F99">
            <w:pPr>
              <w:spacing w:before="120"/>
              <w:jc w:val="center"/>
              <w:rPr>
                <w:rFonts w:cs="Arial"/>
                <w:sz w:val="16"/>
                <w:szCs w:val="16"/>
              </w:rPr>
            </w:pPr>
            <w:r w:rsidRPr="00BC7062">
              <w:rPr>
                <w:rFonts w:cs="Arial"/>
                <w:sz w:val="16"/>
                <w:szCs w:val="16"/>
              </w:rPr>
              <w:t>7.5</w:t>
            </w:r>
          </w:p>
        </w:tc>
        <w:tc>
          <w:tcPr>
            <w:tcW w:w="630" w:type="dxa"/>
            <w:tcBorders>
              <w:top w:val="single" w:sz="2" w:space="0" w:color="auto"/>
              <w:left w:val="single" w:sz="4" w:space="0" w:color="auto"/>
              <w:bottom w:val="single" w:sz="2" w:space="0" w:color="auto"/>
              <w:right w:val="single" w:sz="4" w:space="0" w:color="auto"/>
            </w:tcBorders>
            <w:tcMar>
              <w:left w:w="43" w:type="dxa"/>
              <w:right w:w="43" w:type="dxa"/>
            </w:tcMar>
            <w:vAlign w:val="bottom"/>
          </w:tcPr>
          <w:p w14:paraId="515DF037" w14:textId="6A3173E1" w:rsidR="00C27F99" w:rsidRPr="00BC7062" w:rsidRDefault="00C27F99" w:rsidP="00C27F99">
            <w:pPr>
              <w:spacing w:before="120"/>
              <w:jc w:val="center"/>
              <w:rPr>
                <w:rFonts w:cs="Arial"/>
                <w:sz w:val="16"/>
                <w:szCs w:val="16"/>
              </w:rPr>
            </w:pPr>
            <w:r w:rsidRPr="00BC7062">
              <w:rPr>
                <w:rFonts w:cs="Arial"/>
                <w:sz w:val="16"/>
                <w:szCs w:val="16"/>
              </w:rPr>
              <w:t>7.4</w:t>
            </w:r>
          </w:p>
        </w:tc>
        <w:tc>
          <w:tcPr>
            <w:tcW w:w="630" w:type="dxa"/>
            <w:tcBorders>
              <w:top w:val="single" w:sz="2" w:space="0" w:color="auto"/>
              <w:left w:val="single" w:sz="4" w:space="0" w:color="auto"/>
              <w:bottom w:val="single" w:sz="2" w:space="0" w:color="auto"/>
              <w:right w:val="single" w:sz="4" w:space="0" w:color="auto"/>
            </w:tcBorders>
            <w:tcMar>
              <w:left w:w="43" w:type="dxa"/>
              <w:right w:w="43" w:type="dxa"/>
            </w:tcMar>
            <w:vAlign w:val="bottom"/>
          </w:tcPr>
          <w:p w14:paraId="1BD55B14" w14:textId="1A2D53CD" w:rsidR="00C27F99" w:rsidRPr="00BC7062" w:rsidRDefault="00C27F99" w:rsidP="00C27F99">
            <w:pPr>
              <w:spacing w:before="120"/>
              <w:jc w:val="center"/>
              <w:rPr>
                <w:rFonts w:cs="Arial"/>
                <w:sz w:val="16"/>
                <w:szCs w:val="16"/>
              </w:rPr>
            </w:pPr>
            <w:r w:rsidRPr="00BC7062">
              <w:rPr>
                <w:rFonts w:cs="Arial"/>
                <w:sz w:val="16"/>
                <w:szCs w:val="16"/>
              </w:rPr>
              <w:t>8</w:t>
            </w:r>
          </w:p>
        </w:tc>
        <w:tc>
          <w:tcPr>
            <w:tcW w:w="675" w:type="dxa"/>
            <w:tcBorders>
              <w:top w:val="single" w:sz="4" w:space="0" w:color="auto"/>
              <w:left w:val="single" w:sz="4" w:space="0" w:color="auto"/>
              <w:bottom w:val="single" w:sz="4" w:space="0" w:color="auto"/>
              <w:right w:val="single" w:sz="4" w:space="0" w:color="auto"/>
            </w:tcBorders>
            <w:tcMar>
              <w:left w:w="43" w:type="dxa"/>
              <w:right w:w="43" w:type="dxa"/>
            </w:tcMar>
            <w:vAlign w:val="bottom"/>
          </w:tcPr>
          <w:p w14:paraId="6313D3B9" w14:textId="47D66454" w:rsidR="00C27F99" w:rsidRPr="00BC7062" w:rsidRDefault="00C27F99" w:rsidP="00C27F99">
            <w:pPr>
              <w:spacing w:before="120"/>
              <w:jc w:val="center"/>
              <w:rPr>
                <w:rFonts w:cs="Arial"/>
                <w:sz w:val="16"/>
                <w:szCs w:val="16"/>
              </w:rPr>
            </w:pPr>
            <w:r w:rsidRPr="00BC7062">
              <w:rPr>
                <w:rFonts w:cs="Arial"/>
                <w:sz w:val="16"/>
                <w:szCs w:val="16"/>
              </w:rPr>
              <w:t>8.260</w:t>
            </w:r>
          </w:p>
        </w:tc>
        <w:tc>
          <w:tcPr>
            <w:tcW w:w="675" w:type="dxa"/>
            <w:tcBorders>
              <w:top w:val="single" w:sz="4" w:space="0" w:color="auto"/>
              <w:left w:val="single" w:sz="4" w:space="0" w:color="auto"/>
              <w:bottom w:val="single" w:sz="4" w:space="0" w:color="auto"/>
              <w:right w:val="single" w:sz="4" w:space="0" w:color="auto"/>
            </w:tcBorders>
            <w:tcMar>
              <w:left w:w="43" w:type="dxa"/>
              <w:right w:w="43" w:type="dxa"/>
            </w:tcMar>
            <w:vAlign w:val="bottom"/>
          </w:tcPr>
          <w:p w14:paraId="0AAE48A9" w14:textId="231FA772" w:rsidR="00C27F99" w:rsidRPr="00BC7062" w:rsidRDefault="00C27F99" w:rsidP="00C27F99">
            <w:pPr>
              <w:spacing w:before="120"/>
              <w:jc w:val="center"/>
              <w:rPr>
                <w:rFonts w:cs="Arial"/>
                <w:sz w:val="16"/>
                <w:szCs w:val="16"/>
              </w:rPr>
            </w:pPr>
            <w:r w:rsidRPr="00BC7062">
              <w:rPr>
                <w:rFonts w:cs="Arial"/>
                <w:sz w:val="16"/>
                <w:szCs w:val="16"/>
              </w:rPr>
              <w:t>0.880</w:t>
            </w:r>
          </w:p>
        </w:tc>
        <w:tc>
          <w:tcPr>
            <w:tcW w:w="630" w:type="dxa"/>
            <w:tcBorders>
              <w:top w:val="single" w:sz="4" w:space="0" w:color="auto"/>
              <w:left w:val="single" w:sz="4" w:space="0" w:color="auto"/>
              <w:bottom w:val="single" w:sz="4" w:space="0" w:color="auto"/>
              <w:right w:val="single" w:sz="4" w:space="0" w:color="auto"/>
            </w:tcBorders>
            <w:tcMar>
              <w:left w:w="43" w:type="dxa"/>
              <w:right w:w="43" w:type="dxa"/>
            </w:tcMar>
          </w:tcPr>
          <w:p w14:paraId="5B2636D0" w14:textId="1BD08477" w:rsidR="00C27F99" w:rsidRPr="00BC7062" w:rsidRDefault="00C27F99" w:rsidP="00C27F99">
            <w:pPr>
              <w:spacing w:before="120"/>
              <w:jc w:val="center"/>
              <w:rPr>
                <w:rFonts w:cs="Arial"/>
                <w:sz w:val="16"/>
                <w:szCs w:val="16"/>
              </w:rPr>
            </w:pPr>
            <w:r w:rsidRPr="00BC7062">
              <w:rPr>
                <w:rFonts w:cs="Arial"/>
                <w:sz w:val="16"/>
                <w:szCs w:val="16"/>
              </w:rPr>
              <w:t>2.132</w:t>
            </w:r>
          </w:p>
        </w:tc>
        <w:tc>
          <w:tcPr>
            <w:tcW w:w="630" w:type="dxa"/>
            <w:tcBorders>
              <w:top w:val="single" w:sz="4" w:space="0" w:color="auto"/>
              <w:left w:val="single" w:sz="4" w:space="0" w:color="auto"/>
              <w:bottom w:val="single" w:sz="4" w:space="0" w:color="auto"/>
              <w:right w:val="single" w:sz="4" w:space="0" w:color="auto"/>
            </w:tcBorders>
            <w:tcMar>
              <w:left w:w="43" w:type="dxa"/>
              <w:right w:w="43" w:type="dxa"/>
            </w:tcMar>
          </w:tcPr>
          <w:p w14:paraId="6411A4F9" w14:textId="3D8A07BA" w:rsidR="00C27F99" w:rsidRPr="00BC7062" w:rsidRDefault="00C27F99" w:rsidP="00C27F99">
            <w:pPr>
              <w:spacing w:before="120"/>
              <w:jc w:val="center"/>
              <w:rPr>
                <w:rFonts w:cs="Arial"/>
                <w:sz w:val="16"/>
                <w:szCs w:val="16"/>
              </w:rPr>
            </w:pPr>
            <w:r w:rsidRPr="00BC7062">
              <w:rPr>
                <w:rFonts w:cs="Arial"/>
                <w:sz w:val="16"/>
                <w:szCs w:val="16"/>
              </w:rPr>
              <w:t>5</w:t>
            </w:r>
          </w:p>
        </w:tc>
        <w:tc>
          <w:tcPr>
            <w:tcW w:w="1177" w:type="dxa"/>
            <w:tcBorders>
              <w:top w:val="single" w:sz="4" w:space="0" w:color="auto"/>
              <w:left w:val="single" w:sz="4" w:space="0" w:color="auto"/>
              <w:bottom w:val="single" w:sz="4" w:space="0" w:color="auto"/>
              <w:right w:val="single" w:sz="4" w:space="0" w:color="auto"/>
            </w:tcBorders>
            <w:tcMar>
              <w:left w:w="43" w:type="dxa"/>
              <w:right w:w="43" w:type="dxa"/>
            </w:tcMar>
            <w:vAlign w:val="bottom"/>
          </w:tcPr>
          <w:p w14:paraId="13F2D561" w14:textId="615FFBC6" w:rsidR="00C27F99" w:rsidRPr="00BC7062" w:rsidRDefault="00C27F99" w:rsidP="00C27F99">
            <w:pPr>
              <w:spacing w:before="120"/>
              <w:jc w:val="center"/>
              <w:rPr>
                <w:rFonts w:cs="Arial"/>
                <w:sz w:val="16"/>
                <w:szCs w:val="16"/>
              </w:rPr>
            </w:pPr>
            <w:r w:rsidRPr="00BC7062">
              <w:rPr>
                <w:rFonts w:cs="Arial"/>
                <w:sz w:val="16"/>
                <w:szCs w:val="16"/>
              </w:rPr>
              <w:t>9.099</w:t>
            </w:r>
          </w:p>
        </w:tc>
        <w:tc>
          <w:tcPr>
            <w:tcW w:w="1178" w:type="dxa"/>
            <w:tcBorders>
              <w:top w:val="single" w:sz="4" w:space="0" w:color="auto"/>
              <w:left w:val="single" w:sz="4" w:space="0" w:color="auto"/>
              <w:bottom w:val="single" w:sz="4" w:space="0" w:color="auto"/>
            </w:tcBorders>
            <w:tcMar>
              <w:left w:w="43" w:type="dxa"/>
              <w:right w:w="43" w:type="dxa"/>
            </w:tcMar>
            <w:vAlign w:val="bottom"/>
          </w:tcPr>
          <w:p w14:paraId="65F09372" w14:textId="32EFD03C" w:rsidR="00C27F99" w:rsidRPr="00BC7062" w:rsidRDefault="00C27F99" w:rsidP="00C27F99">
            <w:pPr>
              <w:spacing w:before="120"/>
              <w:jc w:val="center"/>
              <w:rPr>
                <w:rFonts w:cs="Arial"/>
                <w:sz w:val="16"/>
                <w:szCs w:val="16"/>
              </w:rPr>
            </w:pPr>
            <w:r w:rsidRPr="00BC7062">
              <w:rPr>
                <w:rFonts w:cs="Arial"/>
                <w:sz w:val="16"/>
                <w:szCs w:val="16"/>
              </w:rPr>
              <w:t>9.6</w:t>
            </w:r>
          </w:p>
        </w:tc>
      </w:tr>
    </w:tbl>
    <w:p w14:paraId="1AE3DC26" w14:textId="079207E1" w:rsidR="00D46AC0" w:rsidRPr="00AC32D4" w:rsidRDefault="00D46AC0" w:rsidP="00E73D4A">
      <w:pPr>
        <w:pStyle w:val="Form-Bodytext1"/>
        <w:spacing w:before="240"/>
      </w:pPr>
      <w:r w:rsidRPr="00AC32D4">
        <w:t xml:space="preserve">In the examples from Table A2, </w:t>
      </w:r>
      <w:r w:rsidR="00C27F99">
        <w:t>S</w:t>
      </w:r>
      <w:r w:rsidRPr="00AC32D4">
        <w:t xml:space="preserve">ite 1 does not meet the criteria and may not be eligible for the industrial monitor offramp. From Table B, the 8-hr CO NAAQS is 9 ppm. 80% of this standard is 7.2 ppm. The 90% upper confidence limit is larger than 80% of the NAAQS in this case. </w:t>
      </w:r>
    </w:p>
    <w:p w14:paraId="4287120D" w14:textId="6DB42EEC" w:rsidR="00202212" w:rsidRPr="00AC32D4" w:rsidRDefault="00D46AC0" w:rsidP="00AC32D4">
      <w:pPr>
        <w:pStyle w:val="Form-Bodytext1"/>
      </w:pPr>
      <w:r w:rsidRPr="00AC32D4">
        <w:t xml:space="preserve">Monitoring at </w:t>
      </w:r>
      <w:r w:rsidR="00C27F99">
        <w:t>S</w:t>
      </w:r>
      <w:r w:rsidRPr="00AC32D4">
        <w:t xml:space="preserve">ite 2 for 2015, 2016, and 2017 did not meet the criteria and may not be eligible for </w:t>
      </w:r>
      <w:r w:rsidR="00AC32D4">
        <w:t xml:space="preserve">an </w:t>
      </w:r>
      <w:r w:rsidRPr="00AC32D4">
        <w:t>off</w:t>
      </w:r>
      <w:r w:rsidR="00AC32D4">
        <w:t>-ramp</w:t>
      </w:r>
      <w:r w:rsidRPr="00AC32D4">
        <w:t>. From Table B</w:t>
      </w:r>
      <w:r w:rsidR="001923DD">
        <w:t>,</w:t>
      </w:r>
      <w:r w:rsidRPr="00AC32D4">
        <w:t xml:space="preserve"> the PM2.5 Annual NAAQS is 12.0 µg/m</w:t>
      </w:r>
      <w:r w:rsidR="000352A5">
        <w:rPr>
          <w:vertAlign w:val="superscript"/>
        </w:rPr>
        <w:t>3</w:t>
      </w:r>
      <w:r w:rsidRPr="00AC32D4">
        <w:t>. 80% of the annual PM2.5 NAAQS is 9.6 µg/m</w:t>
      </w:r>
      <w:r w:rsidR="000352A5">
        <w:rPr>
          <w:vertAlign w:val="superscript"/>
        </w:rPr>
        <w:t>3</w:t>
      </w:r>
      <w:r w:rsidRPr="00AC32D4">
        <w:t>. The 90% upper confidence limit is larger than 80% of the NAAQS in this. However, if monitoring continued for two additional years, as shown in row 3, the new 90% upper confidence limit becomes lower than 80% of the NAAQS and this monitor may now be eligible for</w:t>
      </w:r>
      <w:r w:rsidR="00AC32D4">
        <w:t xml:space="preserve"> an off-ramp</w:t>
      </w:r>
      <w:r w:rsidRPr="00AC32D4">
        <w:t xml:space="preserve"> if other criteria are also met.</w:t>
      </w:r>
    </w:p>
    <w:p w14:paraId="5B48BE5E" w14:textId="10BBF2B2" w:rsidR="00AC32D4" w:rsidRDefault="00AC32D4" w:rsidP="00E73D4A">
      <w:pPr>
        <w:pStyle w:val="Form-Bodytext1"/>
      </w:pPr>
    </w:p>
    <w:p w14:paraId="48BA3F03" w14:textId="77777777" w:rsidR="00A60645" w:rsidRDefault="00A60645" w:rsidP="00E73D4A">
      <w:pPr>
        <w:pStyle w:val="Form-Bodytext1"/>
        <w:sectPr w:rsidR="00A60645" w:rsidSect="00C27F99">
          <w:footerReference w:type="default" r:id="rId12"/>
          <w:pgSz w:w="12240" w:h="15840"/>
          <w:pgMar w:top="720" w:right="864" w:bottom="720" w:left="864" w:header="720" w:footer="302" w:gutter="0"/>
          <w:cols w:space="720"/>
          <w:docGrid w:linePitch="360"/>
        </w:sectPr>
      </w:pPr>
    </w:p>
    <w:p w14:paraId="7010522E" w14:textId="4FA756B7" w:rsidR="00A60645" w:rsidRDefault="00AC32D4" w:rsidP="00A60645">
      <w:pPr>
        <w:pStyle w:val="Form-Heading3"/>
      </w:pPr>
      <w:r>
        <w:lastRenderedPageBreak/>
        <w:t>Table B: Table of design value</w:t>
      </w:r>
      <w:r w:rsidR="00342B17">
        <w:t xml:space="preserve"> (DV)</w:t>
      </w:r>
      <w:r>
        <w:t xml:space="preserve"> and data completeness requirements</w:t>
      </w:r>
    </w:p>
    <w:p w14:paraId="39975629" w14:textId="77777777" w:rsidR="00A60645" w:rsidRPr="00E73D4A" w:rsidRDefault="00A60645" w:rsidP="00AC32D4">
      <w:pPr>
        <w:pStyle w:val="Form-Bodytext1"/>
        <w:rPr>
          <w:sz w:val="4"/>
          <w:szCs w:val="4"/>
        </w:rPr>
      </w:pPr>
    </w:p>
    <w:tbl>
      <w:tblPr>
        <w:tblStyle w:val="GridTable1Light-Accent11"/>
        <w:tblW w:w="13045" w:type="dxa"/>
        <w:tblBorders>
          <w:top w:val="none" w:sz="0" w:space="0" w:color="auto"/>
          <w:left w:val="none" w:sz="0" w:space="0" w:color="auto"/>
          <w:bottom w:val="none" w:sz="0" w:space="0" w:color="auto"/>
          <w:right w:val="none" w:sz="0" w:space="0" w:color="auto"/>
          <w:insideH w:val="single" w:sz="4" w:space="0" w:color="000000" w:themeColor="text1"/>
          <w:insideV w:val="single" w:sz="4" w:space="0" w:color="000000" w:themeColor="text1"/>
        </w:tblBorders>
        <w:tblLook w:val="04A0" w:firstRow="1" w:lastRow="0" w:firstColumn="1" w:lastColumn="0" w:noHBand="0" w:noVBand="1"/>
      </w:tblPr>
      <w:tblGrid>
        <w:gridCol w:w="1886"/>
        <w:gridCol w:w="965"/>
        <w:gridCol w:w="966"/>
        <w:gridCol w:w="1149"/>
        <w:gridCol w:w="1149"/>
        <w:gridCol w:w="3465"/>
        <w:gridCol w:w="3465"/>
      </w:tblGrid>
      <w:tr w:rsidR="00A60645" w:rsidRPr="00E73D4A" w14:paraId="63EEA2D4" w14:textId="77777777" w:rsidTr="00D3152D">
        <w:trPr>
          <w:cnfStyle w:val="100000000000" w:firstRow="1" w:lastRow="0" w:firstColumn="0" w:lastColumn="0" w:oddVBand="0" w:evenVBand="0" w:oddHBand="0" w:evenHBand="0" w:firstRowFirstColumn="0" w:firstRowLastColumn="0" w:lastRowFirstColumn="0" w:lastRowLastColumn="0"/>
          <w:cantSplit/>
          <w:trHeight w:val="261"/>
        </w:trPr>
        <w:tc>
          <w:tcPr>
            <w:cnfStyle w:val="001000000000" w:firstRow="0" w:lastRow="0" w:firstColumn="1" w:lastColumn="0" w:oddVBand="0" w:evenVBand="0" w:oddHBand="0" w:evenHBand="0" w:firstRowFirstColumn="0" w:firstRowLastColumn="0" w:lastRowFirstColumn="0" w:lastRowLastColumn="0"/>
            <w:tcW w:w="1886" w:type="dxa"/>
            <w:tcBorders>
              <w:bottom w:val="none" w:sz="0" w:space="0" w:color="auto"/>
            </w:tcBorders>
            <w:vAlign w:val="bottom"/>
            <w:hideMark/>
          </w:tcPr>
          <w:p w14:paraId="0B0FB09E" w14:textId="4F95A4E2" w:rsidR="00E73D4A" w:rsidRPr="00E73D4A" w:rsidRDefault="00AC32D4" w:rsidP="00E73D4A">
            <w:pPr>
              <w:pStyle w:val="Form-Bodytext1"/>
              <w:spacing w:before="0"/>
              <w:rPr>
                <w:rFonts w:ascii="Arial" w:hAnsi="Arial" w:cs="Arial"/>
                <w:b w:val="0"/>
                <w:bCs/>
                <w:szCs w:val="18"/>
              </w:rPr>
            </w:pPr>
            <w:r w:rsidRPr="00E73D4A">
              <w:rPr>
                <w:rFonts w:ascii="Arial" w:hAnsi="Arial" w:cs="Arial"/>
                <w:szCs w:val="18"/>
              </w:rPr>
              <w:t>Pollutant</w:t>
            </w:r>
          </w:p>
        </w:tc>
        <w:tc>
          <w:tcPr>
            <w:tcW w:w="965" w:type="dxa"/>
            <w:tcBorders>
              <w:bottom w:val="none" w:sz="0" w:space="0" w:color="auto"/>
            </w:tcBorders>
            <w:vAlign w:val="bottom"/>
            <w:hideMark/>
          </w:tcPr>
          <w:p w14:paraId="73F74389" w14:textId="5E15CF8B" w:rsidR="00AC32D4" w:rsidRPr="00E73D4A" w:rsidRDefault="00AC32D4" w:rsidP="00FA5A37">
            <w:pPr>
              <w:pStyle w:val="Form-Bodytext1"/>
              <w:spacing w:before="0"/>
              <w:jc w:val="center"/>
              <w:cnfStyle w:val="100000000000" w:firstRow="1" w:lastRow="0" w:firstColumn="0" w:lastColumn="0" w:oddVBand="0" w:evenVBand="0" w:oddHBand="0" w:evenHBand="0" w:firstRowFirstColumn="0" w:firstRowLastColumn="0" w:lastRowFirstColumn="0" w:lastRowLastColumn="0"/>
              <w:rPr>
                <w:rFonts w:ascii="Arial" w:hAnsi="Arial" w:cs="Arial"/>
                <w:szCs w:val="18"/>
              </w:rPr>
            </w:pPr>
            <w:r w:rsidRPr="00E73D4A">
              <w:rPr>
                <w:rFonts w:ascii="Arial" w:hAnsi="Arial" w:cs="Arial"/>
                <w:szCs w:val="18"/>
              </w:rPr>
              <w:t>Years for 1</w:t>
            </w:r>
            <w:r w:rsidR="00E73D4A">
              <w:rPr>
                <w:rFonts w:ascii="Arial" w:hAnsi="Arial" w:cs="Arial"/>
                <w:szCs w:val="18"/>
              </w:rPr>
              <w:t> </w:t>
            </w:r>
            <w:r w:rsidRPr="00E73D4A">
              <w:rPr>
                <w:rFonts w:ascii="Arial" w:hAnsi="Arial" w:cs="Arial"/>
                <w:szCs w:val="18"/>
              </w:rPr>
              <w:t>D</w:t>
            </w:r>
            <w:r w:rsidR="00342B17" w:rsidRPr="00E73D4A">
              <w:rPr>
                <w:rFonts w:ascii="Arial" w:hAnsi="Arial" w:cs="Arial"/>
                <w:szCs w:val="18"/>
              </w:rPr>
              <w:t>V</w:t>
            </w:r>
          </w:p>
        </w:tc>
        <w:tc>
          <w:tcPr>
            <w:tcW w:w="966" w:type="dxa"/>
            <w:tcBorders>
              <w:bottom w:val="none" w:sz="0" w:space="0" w:color="auto"/>
            </w:tcBorders>
            <w:vAlign w:val="bottom"/>
            <w:hideMark/>
          </w:tcPr>
          <w:p w14:paraId="6FE6CA10" w14:textId="77777777" w:rsidR="00AC32D4" w:rsidRPr="00E73D4A" w:rsidRDefault="00AC32D4" w:rsidP="00FA5A37">
            <w:pPr>
              <w:pStyle w:val="Form-Bodytext1"/>
              <w:spacing w:before="0"/>
              <w:jc w:val="center"/>
              <w:cnfStyle w:val="100000000000" w:firstRow="1" w:lastRow="0" w:firstColumn="0" w:lastColumn="0" w:oddVBand="0" w:evenVBand="0" w:oddHBand="0" w:evenHBand="0" w:firstRowFirstColumn="0" w:firstRowLastColumn="0" w:lastRowFirstColumn="0" w:lastRowLastColumn="0"/>
              <w:rPr>
                <w:rFonts w:ascii="Arial" w:hAnsi="Arial" w:cs="Arial"/>
                <w:szCs w:val="18"/>
              </w:rPr>
            </w:pPr>
            <w:r w:rsidRPr="00E73D4A">
              <w:rPr>
                <w:rFonts w:ascii="Arial" w:hAnsi="Arial" w:cs="Arial"/>
                <w:szCs w:val="18"/>
              </w:rPr>
              <w:t>Years of data needed for 3 DV</w:t>
            </w:r>
          </w:p>
        </w:tc>
        <w:tc>
          <w:tcPr>
            <w:tcW w:w="1149" w:type="dxa"/>
            <w:tcBorders>
              <w:bottom w:val="none" w:sz="0" w:space="0" w:color="auto"/>
            </w:tcBorders>
            <w:vAlign w:val="bottom"/>
            <w:hideMark/>
          </w:tcPr>
          <w:p w14:paraId="03E2CC37" w14:textId="77777777" w:rsidR="00AC32D4" w:rsidRPr="00E73D4A" w:rsidRDefault="00AC32D4" w:rsidP="00E73D4A">
            <w:pPr>
              <w:pStyle w:val="Form-Bodytext1"/>
              <w:spacing w:before="0"/>
              <w:cnfStyle w:val="100000000000" w:firstRow="1" w:lastRow="0" w:firstColumn="0" w:lastColumn="0" w:oddVBand="0" w:evenVBand="0" w:oddHBand="0" w:evenHBand="0" w:firstRowFirstColumn="0" w:firstRowLastColumn="0" w:lastRowFirstColumn="0" w:lastRowLastColumn="0"/>
              <w:rPr>
                <w:rFonts w:ascii="Arial" w:hAnsi="Arial" w:cs="Arial"/>
                <w:szCs w:val="18"/>
              </w:rPr>
            </w:pPr>
            <w:r w:rsidRPr="00E73D4A">
              <w:rPr>
                <w:rFonts w:ascii="Arial" w:hAnsi="Arial" w:cs="Arial"/>
                <w:szCs w:val="18"/>
              </w:rPr>
              <w:t>Standard </w:t>
            </w:r>
          </w:p>
        </w:tc>
        <w:tc>
          <w:tcPr>
            <w:tcW w:w="1149" w:type="dxa"/>
            <w:tcBorders>
              <w:bottom w:val="none" w:sz="0" w:space="0" w:color="auto"/>
            </w:tcBorders>
            <w:vAlign w:val="bottom"/>
            <w:hideMark/>
          </w:tcPr>
          <w:p w14:paraId="2EC10BF6" w14:textId="77777777" w:rsidR="00AC32D4" w:rsidRPr="00E73D4A" w:rsidRDefault="00AC32D4" w:rsidP="00E73D4A">
            <w:pPr>
              <w:pStyle w:val="Form-Bodytext1"/>
              <w:spacing w:before="0"/>
              <w:cnfStyle w:val="100000000000" w:firstRow="1" w:lastRow="0" w:firstColumn="0" w:lastColumn="0" w:oddVBand="0" w:evenVBand="0" w:oddHBand="0" w:evenHBand="0" w:firstRowFirstColumn="0" w:firstRowLastColumn="0" w:lastRowFirstColumn="0" w:lastRowLastColumn="0"/>
              <w:rPr>
                <w:rFonts w:ascii="Arial" w:hAnsi="Arial" w:cs="Arial"/>
                <w:szCs w:val="18"/>
              </w:rPr>
            </w:pPr>
            <w:r w:rsidRPr="00E73D4A">
              <w:rPr>
                <w:rFonts w:ascii="Arial" w:hAnsi="Arial" w:cs="Arial"/>
                <w:szCs w:val="18"/>
              </w:rPr>
              <w:t>80% of Standard </w:t>
            </w:r>
          </w:p>
        </w:tc>
        <w:tc>
          <w:tcPr>
            <w:tcW w:w="3465" w:type="dxa"/>
            <w:tcBorders>
              <w:bottom w:val="none" w:sz="0" w:space="0" w:color="auto"/>
            </w:tcBorders>
            <w:vAlign w:val="bottom"/>
            <w:hideMark/>
          </w:tcPr>
          <w:p w14:paraId="3EF495C3" w14:textId="77777777" w:rsidR="00AC32D4" w:rsidRPr="00E73D4A" w:rsidRDefault="00AC32D4" w:rsidP="00E73D4A">
            <w:pPr>
              <w:pStyle w:val="Form-Bodytext1"/>
              <w:spacing w:before="0"/>
              <w:cnfStyle w:val="100000000000" w:firstRow="1" w:lastRow="0" w:firstColumn="0" w:lastColumn="0" w:oddVBand="0" w:evenVBand="0" w:oddHBand="0" w:evenHBand="0" w:firstRowFirstColumn="0" w:firstRowLastColumn="0" w:lastRowFirstColumn="0" w:lastRowLastColumn="0"/>
              <w:rPr>
                <w:rFonts w:ascii="Arial" w:hAnsi="Arial" w:cs="Arial"/>
                <w:szCs w:val="18"/>
              </w:rPr>
            </w:pPr>
            <w:r w:rsidRPr="00E73D4A">
              <w:rPr>
                <w:rFonts w:ascii="Arial" w:hAnsi="Arial" w:cs="Arial"/>
                <w:szCs w:val="18"/>
              </w:rPr>
              <w:t>Data Completeness </w:t>
            </w:r>
          </w:p>
        </w:tc>
        <w:tc>
          <w:tcPr>
            <w:tcW w:w="3465" w:type="dxa"/>
            <w:tcBorders>
              <w:bottom w:val="none" w:sz="0" w:space="0" w:color="auto"/>
            </w:tcBorders>
            <w:vAlign w:val="bottom"/>
            <w:hideMark/>
          </w:tcPr>
          <w:p w14:paraId="482238EC" w14:textId="77777777" w:rsidR="00AC32D4" w:rsidRPr="00E73D4A" w:rsidRDefault="00AC32D4" w:rsidP="00E73D4A">
            <w:pPr>
              <w:pStyle w:val="Form-Bodytext1"/>
              <w:spacing w:before="0"/>
              <w:cnfStyle w:val="100000000000" w:firstRow="1" w:lastRow="0" w:firstColumn="0" w:lastColumn="0" w:oddVBand="0" w:evenVBand="0" w:oddHBand="0" w:evenHBand="0" w:firstRowFirstColumn="0" w:firstRowLastColumn="0" w:lastRowFirstColumn="0" w:lastRowLastColumn="0"/>
              <w:rPr>
                <w:rFonts w:ascii="Arial" w:hAnsi="Arial" w:cs="Arial"/>
                <w:szCs w:val="18"/>
              </w:rPr>
            </w:pPr>
            <w:r w:rsidRPr="00E73D4A">
              <w:rPr>
                <w:rFonts w:ascii="Arial" w:hAnsi="Arial" w:cs="Arial"/>
                <w:szCs w:val="18"/>
              </w:rPr>
              <w:t>How DV is calculated </w:t>
            </w:r>
          </w:p>
        </w:tc>
      </w:tr>
      <w:tr w:rsidR="00A60645" w:rsidRPr="00AC32D4" w14:paraId="3312FDA2" w14:textId="77777777" w:rsidTr="00D3152D">
        <w:trPr>
          <w:cantSplit/>
          <w:trHeight w:val="773"/>
        </w:trPr>
        <w:tc>
          <w:tcPr>
            <w:cnfStyle w:val="001000000000" w:firstRow="0" w:lastRow="0" w:firstColumn="1" w:lastColumn="0" w:oddVBand="0" w:evenVBand="0" w:oddHBand="0" w:evenHBand="0" w:firstRowFirstColumn="0" w:firstRowLastColumn="0" w:lastRowFirstColumn="0" w:lastRowLastColumn="0"/>
            <w:tcW w:w="1886" w:type="dxa"/>
            <w:hideMark/>
          </w:tcPr>
          <w:p w14:paraId="1E801C32" w14:textId="030AA7A2" w:rsidR="00AC32D4" w:rsidRPr="00E73D4A" w:rsidRDefault="00AC32D4" w:rsidP="00E73D4A">
            <w:pPr>
              <w:spacing w:before="120" w:line="259" w:lineRule="auto"/>
              <w:textAlignment w:val="baseline"/>
              <w:rPr>
                <w:rFonts w:ascii="Arial" w:hAnsi="Arial" w:cs="Arial"/>
                <w:sz w:val="16"/>
                <w:szCs w:val="16"/>
              </w:rPr>
            </w:pPr>
            <w:r w:rsidRPr="00E73D4A">
              <w:rPr>
                <w:rFonts w:ascii="Arial" w:hAnsi="Arial" w:cs="Arial"/>
                <w:sz w:val="16"/>
                <w:szCs w:val="16"/>
              </w:rPr>
              <w:t>Annual PM2.5</w:t>
            </w:r>
            <w:r w:rsidR="00FA2915">
              <w:rPr>
                <w:rFonts w:ascii="Arial" w:hAnsi="Arial" w:cs="Arial"/>
                <w:sz w:val="16"/>
                <w:szCs w:val="16"/>
              </w:rPr>
              <w:br/>
            </w:r>
            <w:r w:rsidRPr="00E73D4A">
              <w:rPr>
                <w:rFonts w:ascii="Arial" w:hAnsi="Arial" w:cs="Arial"/>
                <w:color w:val="0078D4"/>
                <w:sz w:val="16"/>
                <w:szCs w:val="16"/>
                <w:u w:val="single"/>
              </w:rPr>
              <w:t>(</w:t>
            </w:r>
            <w:hyperlink r:id="rId13">
              <w:r w:rsidRPr="00E73D4A">
                <w:rPr>
                  <w:rFonts w:ascii="Arial" w:hAnsi="Arial" w:cs="Arial"/>
                  <w:color w:val="0563C1"/>
                  <w:sz w:val="16"/>
                  <w:szCs w:val="16"/>
                  <w:u w:val="single"/>
                </w:rPr>
                <w:t xml:space="preserve">40 </w:t>
              </w:r>
              <w:r w:rsidR="00342B17" w:rsidRPr="00E73D4A">
                <w:rPr>
                  <w:rFonts w:ascii="Arial" w:hAnsi="Arial" w:cs="Arial"/>
                  <w:color w:val="0563C1"/>
                  <w:sz w:val="16"/>
                  <w:szCs w:val="16"/>
                  <w:u w:val="single"/>
                </w:rPr>
                <w:t>C</w:t>
              </w:r>
              <w:r w:rsidRPr="00E73D4A">
                <w:rPr>
                  <w:rFonts w:ascii="Arial" w:hAnsi="Arial" w:cs="Arial"/>
                  <w:color w:val="0563C1"/>
                  <w:sz w:val="16"/>
                  <w:szCs w:val="16"/>
                  <w:u w:val="single"/>
                </w:rPr>
                <w:t>FR §50.18</w:t>
              </w:r>
            </w:hyperlink>
            <w:r w:rsidRPr="00E73D4A">
              <w:rPr>
                <w:rFonts w:ascii="Arial" w:hAnsi="Arial" w:cs="Arial"/>
                <w:color w:val="0078D4"/>
                <w:sz w:val="16"/>
                <w:szCs w:val="16"/>
                <w:u w:val="single"/>
              </w:rPr>
              <w:t>)</w:t>
            </w:r>
            <w:r w:rsidRPr="00E73D4A">
              <w:rPr>
                <w:rFonts w:ascii="Arial" w:hAnsi="Arial" w:cs="Arial"/>
                <w:sz w:val="16"/>
                <w:szCs w:val="16"/>
              </w:rPr>
              <w:t> </w:t>
            </w:r>
          </w:p>
        </w:tc>
        <w:tc>
          <w:tcPr>
            <w:tcW w:w="965" w:type="dxa"/>
            <w:hideMark/>
          </w:tcPr>
          <w:p w14:paraId="33C66595" w14:textId="5F457E6C" w:rsidR="00AC32D4" w:rsidRPr="00E73D4A" w:rsidRDefault="00AC32D4" w:rsidP="00FA5A37">
            <w:pPr>
              <w:pStyle w:val="Form-Bodytext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3</w:t>
            </w:r>
          </w:p>
        </w:tc>
        <w:tc>
          <w:tcPr>
            <w:tcW w:w="966" w:type="dxa"/>
            <w:hideMark/>
          </w:tcPr>
          <w:p w14:paraId="5D33E08A" w14:textId="080FEDAF" w:rsidR="00AC32D4" w:rsidRPr="00E73D4A" w:rsidRDefault="00AC32D4" w:rsidP="00FA5A37">
            <w:pPr>
              <w:pStyle w:val="Form-Bodytext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5</w:t>
            </w:r>
          </w:p>
        </w:tc>
        <w:tc>
          <w:tcPr>
            <w:tcW w:w="1149" w:type="dxa"/>
            <w:hideMark/>
          </w:tcPr>
          <w:p w14:paraId="2A39FF0D" w14:textId="41796411"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12.0 µg/m</w:t>
            </w:r>
            <w:r w:rsidRPr="00E73D4A">
              <w:rPr>
                <w:rFonts w:ascii="Arial" w:hAnsi="Arial" w:cs="Arial"/>
                <w:sz w:val="16"/>
                <w:szCs w:val="16"/>
                <w:vertAlign w:val="superscript"/>
              </w:rPr>
              <w:t>3</w:t>
            </w:r>
            <w:r w:rsidRPr="00E73D4A">
              <w:rPr>
                <w:rFonts w:ascii="Arial" w:hAnsi="Arial" w:cs="Arial"/>
                <w:sz w:val="16"/>
                <w:szCs w:val="16"/>
              </w:rPr>
              <w:t> </w:t>
            </w:r>
          </w:p>
        </w:tc>
        <w:tc>
          <w:tcPr>
            <w:tcW w:w="1149" w:type="dxa"/>
            <w:hideMark/>
          </w:tcPr>
          <w:p w14:paraId="0DFA654D"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 9.6 µg/m</w:t>
            </w:r>
            <w:r w:rsidRPr="00E73D4A">
              <w:rPr>
                <w:rFonts w:ascii="Arial" w:hAnsi="Arial" w:cs="Arial"/>
                <w:sz w:val="16"/>
                <w:szCs w:val="16"/>
                <w:vertAlign w:val="superscript"/>
              </w:rPr>
              <w:t>3</w:t>
            </w:r>
            <w:r w:rsidRPr="00E73D4A">
              <w:rPr>
                <w:rFonts w:ascii="Arial" w:hAnsi="Arial" w:cs="Arial"/>
                <w:sz w:val="16"/>
                <w:szCs w:val="16"/>
              </w:rPr>
              <w:t> </w:t>
            </w:r>
          </w:p>
        </w:tc>
        <w:tc>
          <w:tcPr>
            <w:tcW w:w="3465" w:type="dxa"/>
            <w:hideMark/>
          </w:tcPr>
          <w:p w14:paraId="5A0CEAB3" w14:textId="14570B8B"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A year meets data completeness requirements when quarterly data capture rates for all four quarters are at least 75</w:t>
            </w:r>
            <w:r w:rsidR="00176826">
              <w:rPr>
                <w:rFonts w:ascii="Arial" w:hAnsi="Arial" w:cs="Arial"/>
                <w:sz w:val="16"/>
                <w:szCs w:val="16"/>
              </w:rPr>
              <w:t> </w:t>
            </w:r>
            <w:r w:rsidRPr="00E73D4A">
              <w:rPr>
                <w:rFonts w:ascii="Arial" w:hAnsi="Arial" w:cs="Arial"/>
                <w:sz w:val="16"/>
                <w:szCs w:val="16"/>
              </w:rPr>
              <w:t>percent</w:t>
            </w:r>
            <w:r w:rsidR="0016441D">
              <w:rPr>
                <w:rFonts w:ascii="Arial" w:hAnsi="Arial" w:cs="Arial"/>
                <w:sz w:val="16"/>
                <w:szCs w:val="16"/>
              </w:rPr>
              <w:t>.</w:t>
            </w:r>
          </w:p>
        </w:tc>
        <w:tc>
          <w:tcPr>
            <w:tcW w:w="3465" w:type="dxa"/>
            <w:hideMark/>
          </w:tcPr>
          <w:p w14:paraId="3C94C9EA" w14:textId="12393933"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 xml:space="preserve">The design value is the annual mean concentration, averaged over </w:t>
            </w:r>
            <w:r w:rsidR="009E7CC4">
              <w:rPr>
                <w:rFonts w:ascii="Arial" w:hAnsi="Arial" w:cs="Arial"/>
                <w:sz w:val="16"/>
                <w:szCs w:val="16"/>
              </w:rPr>
              <w:t xml:space="preserve">3 </w:t>
            </w:r>
            <w:r w:rsidRPr="00E73D4A">
              <w:rPr>
                <w:rFonts w:ascii="Arial" w:hAnsi="Arial" w:cs="Arial"/>
                <w:sz w:val="16"/>
                <w:szCs w:val="16"/>
              </w:rPr>
              <w:t>consecutive years.</w:t>
            </w:r>
          </w:p>
        </w:tc>
      </w:tr>
      <w:tr w:rsidR="00A60645" w:rsidRPr="00AC32D4" w14:paraId="6A358B7E" w14:textId="77777777" w:rsidTr="00D3152D">
        <w:trPr>
          <w:cantSplit/>
          <w:trHeight w:val="719"/>
        </w:trPr>
        <w:tc>
          <w:tcPr>
            <w:cnfStyle w:val="001000000000" w:firstRow="0" w:lastRow="0" w:firstColumn="1" w:lastColumn="0" w:oddVBand="0" w:evenVBand="0" w:oddHBand="0" w:evenHBand="0" w:firstRowFirstColumn="0" w:firstRowLastColumn="0" w:lastRowFirstColumn="0" w:lastRowLastColumn="0"/>
            <w:tcW w:w="1886" w:type="dxa"/>
            <w:hideMark/>
          </w:tcPr>
          <w:p w14:paraId="7A9911B4" w14:textId="4DAE404D" w:rsidR="00AC32D4" w:rsidRPr="00E73D4A" w:rsidRDefault="00AC32D4" w:rsidP="00E73D4A">
            <w:pPr>
              <w:spacing w:before="120" w:line="259" w:lineRule="auto"/>
              <w:textAlignment w:val="baseline"/>
              <w:rPr>
                <w:rFonts w:ascii="Arial" w:hAnsi="Arial" w:cs="Arial"/>
                <w:b w:val="0"/>
                <w:sz w:val="16"/>
                <w:szCs w:val="16"/>
              </w:rPr>
            </w:pPr>
            <w:r w:rsidRPr="00E73D4A">
              <w:rPr>
                <w:rFonts w:ascii="Arial" w:hAnsi="Arial" w:cs="Arial"/>
                <w:sz w:val="16"/>
                <w:szCs w:val="16"/>
              </w:rPr>
              <w:t>24-hour PM2.5</w:t>
            </w:r>
            <w:r w:rsidR="00FA2915">
              <w:rPr>
                <w:rFonts w:ascii="Arial" w:hAnsi="Arial" w:cs="Arial"/>
                <w:sz w:val="16"/>
                <w:szCs w:val="16"/>
              </w:rPr>
              <w:br/>
            </w:r>
            <w:r w:rsidRPr="00E73D4A">
              <w:rPr>
                <w:rFonts w:ascii="Arial" w:hAnsi="Arial" w:cs="Arial"/>
                <w:color w:val="0078D4"/>
                <w:sz w:val="16"/>
                <w:szCs w:val="16"/>
                <w:u w:val="single"/>
              </w:rPr>
              <w:t>(</w:t>
            </w:r>
            <w:hyperlink r:id="rId14">
              <w:r w:rsidRPr="00E73D4A">
                <w:rPr>
                  <w:rFonts w:ascii="Arial" w:hAnsi="Arial" w:cs="Arial"/>
                  <w:color w:val="0563C1"/>
                  <w:sz w:val="16"/>
                  <w:szCs w:val="16"/>
                  <w:u w:val="single"/>
                </w:rPr>
                <w:t>40 CFR §50.18</w:t>
              </w:r>
            </w:hyperlink>
            <w:r w:rsidRPr="00E73D4A">
              <w:rPr>
                <w:rFonts w:ascii="Arial" w:hAnsi="Arial" w:cs="Arial"/>
                <w:color w:val="0078D4"/>
                <w:sz w:val="16"/>
                <w:szCs w:val="16"/>
                <w:u w:val="single"/>
              </w:rPr>
              <w:t>)</w:t>
            </w:r>
          </w:p>
        </w:tc>
        <w:tc>
          <w:tcPr>
            <w:tcW w:w="965" w:type="dxa"/>
            <w:hideMark/>
          </w:tcPr>
          <w:p w14:paraId="5D492F22" w14:textId="661E18B5" w:rsidR="00AC32D4" w:rsidRPr="00E73D4A" w:rsidRDefault="00AC32D4" w:rsidP="00FA5A37">
            <w:pPr>
              <w:pStyle w:val="Form-Bodytext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3</w:t>
            </w:r>
          </w:p>
        </w:tc>
        <w:tc>
          <w:tcPr>
            <w:tcW w:w="966" w:type="dxa"/>
            <w:hideMark/>
          </w:tcPr>
          <w:p w14:paraId="5BA21839" w14:textId="2BA6B232" w:rsidR="00AC32D4" w:rsidRPr="00E73D4A" w:rsidRDefault="00AC32D4" w:rsidP="00FA5A37">
            <w:pPr>
              <w:pStyle w:val="Form-Bodytext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5</w:t>
            </w:r>
          </w:p>
        </w:tc>
        <w:tc>
          <w:tcPr>
            <w:tcW w:w="1149" w:type="dxa"/>
            <w:hideMark/>
          </w:tcPr>
          <w:p w14:paraId="7488199F"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35 µg/m</w:t>
            </w:r>
            <w:r w:rsidRPr="00E73D4A">
              <w:rPr>
                <w:rFonts w:ascii="Arial" w:hAnsi="Arial" w:cs="Arial"/>
                <w:sz w:val="16"/>
                <w:szCs w:val="16"/>
                <w:vertAlign w:val="superscript"/>
              </w:rPr>
              <w:t>3</w:t>
            </w:r>
            <w:r w:rsidRPr="00E73D4A">
              <w:rPr>
                <w:rFonts w:ascii="Arial" w:hAnsi="Arial" w:cs="Arial"/>
                <w:sz w:val="16"/>
                <w:szCs w:val="16"/>
              </w:rPr>
              <w:t> </w:t>
            </w:r>
          </w:p>
        </w:tc>
        <w:tc>
          <w:tcPr>
            <w:tcW w:w="1149" w:type="dxa"/>
            <w:hideMark/>
          </w:tcPr>
          <w:p w14:paraId="244BDD94"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28 µg/m</w:t>
            </w:r>
            <w:r w:rsidRPr="00E73D4A">
              <w:rPr>
                <w:rFonts w:ascii="Arial" w:hAnsi="Arial" w:cs="Arial"/>
                <w:sz w:val="16"/>
                <w:szCs w:val="16"/>
                <w:vertAlign w:val="superscript"/>
              </w:rPr>
              <w:t>3</w:t>
            </w:r>
            <w:r w:rsidRPr="00E73D4A">
              <w:rPr>
                <w:rFonts w:ascii="Arial" w:hAnsi="Arial" w:cs="Arial"/>
                <w:sz w:val="16"/>
                <w:szCs w:val="16"/>
              </w:rPr>
              <w:t> </w:t>
            </w:r>
          </w:p>
        </w:tc>
        <w:tc>
          <w:tcPr>
            <w:tcW w:w="3465" w:type="dxa"/>
            <w:hideMark/>
          </w:tcPr>
          <w:p w14:paraId="0D803123" w14:textId="60C9D129"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A year meets data completeness requirements when quarterly data capture rates for all four quarters are at least 75</w:t>
            </w:r>
            <w:r w:rsidR="00176826">
              <w:rPr>
                <w:rFonts w:ascii="Arial" w:hAnsi="Arial" w:cs="Arial"/>
                <w:sz w:val="16"/>
                <w:szCs w:val="16"/>
              </w:rPr>
              <w:t> </w:t>
            </w:r>
            <w:r w:rsidRPr="00E73D4A">
              <w:rPr>
                <w:rFonts w:ascii="Arial" w:hAnsi="Arial" w:cs="Arial"/>
                <w:sz w:val="16"/>
                <w:szCs w:val="16"/>
              </w:rPr>
              <w:t>percent.</w:t>
            </w:r>
          </w:p>
        </w:tc>
        <w:tc>
          <w:tcPr>
            <w:tcW w:w="3465" w:type="dxa"/>
            <w:hideMark/>
          </w:tcPr>
          <w:p w14:paraId="09E9D24D" w14:textId="5725FB82"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 xml:space="preserve">The design value is the annual 98th percentile concentration, averaged over </w:t>
            </w:r>
            <w:r w:rsidR="009E7CC4">
              <w:rPr>
                <w:rFonts w:ascii="Arial" w:hAnsi="Arial" w:cs="Arial"/>
                <w:sz w:val="16"/>
                <w:szCs w:val="16"/>
              </w:rPr>
              <w:t>3 </w:t>
            </w:r>
            <w:r w:rsidRPr="00E73D4A">
              <w:rPr>
                <w:rFonts w:ascii="Arial" w:hAnsi="Arial" w:cs="Arial"/>
                <w:sz w:val="16"/>
                <w:szCs w:val="16"/>
              </w:rPr>
              <w:t>consecutive years.</w:t>
            </w:r>
          </w:p>
        </w:tc>
      </w:tr>
      <w:tr w:rsidR="00A60645" w:rsidRPr="00AC32D4" w14:paraId="0EDDC50A" w14:textId="77777777" w:rsidTr="00D3152D">
        <w:trPr>
          <w:cantSplit/>
          <w:trHeight w:val="386"/>
        </w:trPr>
        <w:tc>
          <w:tcPr>
            <w:cnfStyle w:val="001000000000" w:firstRow="0" w:lastRow="0" w:firstColumn="1" w:lastColumn="0" w:oddVBand="0" w:evenVBand="0" w:oddHBand="0" w:evenHBand="0" w:firstRowFirstColumn="0" w:firstRowLastColumn="0" w:lastRowFirstColumn="0" w:lastRowLastColumn="0"/>
            <w:tcW w:w="1886" w:type="dxa"/>
            <w:hideMark/>
          </w:tcPr>
          <w:p w14:paraId="23355178" w14:textId="655B78FA" w:rsidR="00AC32D4" w:rsidRPr="00E73D4A" w:rsidRDefault="00AC32D4" w:rsidP="00E73D4A">
            <w:pPr>
              <w:spacing w:before="120" w:line="259" w:lineRule="auto"/>
              <w:textAlignment w:val="baseline"/>
              <w:rPr>
                <w:rFonts w:ascii="Arial" w:hAnsi="Arial" w:cs="Arial"/>
                <w:b w:val="0"/>
                <w:bCs w:val="0"/>
                <w:sz w:val="16"/>
                <w:szCs w:val="16"/>
              </w:rPr>
            </w:pPr>
            <w:r w:rsidRPr="00E73D4A">
              <w:rPr>
                <w:rFonts w:ascii="Arial" w:hAnsi="Arial" w:cs="Arial"/>
                <w:sz w:val="16"/>
                <w:szCs w:val="16"/>
              </w:rPr>
              <w:t xml:space="preserve">PM10 </w:t>
            </w:r>
            <w:hyperlink r:id="rId15">
              <w:r w:rsidR="00342B17" w:rsidRPr="00E73D4A">
                <w:rPr>
                  <w:rFonts w:ascii="Arial" w:hAnsi="Arial" w:cs="Arial"/>
                  <w:color w:val="0563C1"/>
                  <w:sz w:val="16"/>
                  <w:szCs w:val="16"/>
                  <w:u w:val="single"/>
                </w:rPr>
                <w:t>(40 CFR §50.6)</w:t>
              </w:r>
            </w:hyperlink>
          </w:p>
        </w:tc>
        <w:tc>
          <w:tcPr>
            <w:tcW w:w="965" w:type="dxa"/>
            <w:hideMark/>
          </w:tcPr>
          <w:p w14:paraId="4F832343" w14:textId="350EE4DB" w:rsidR="00AC32D4" w:rsidRPr="00E73D4A" w:rsidRDefault="00AC32D4" w:rsidP="00FA5A37">
            <w:pPr>
              <w:pStyle w:val="Form-Bodytext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3</w:t>
            </w:r>
          </w:p>
        </w:tc>
        <w:tc>
          <w:tcPr>
            <w:tcW w:w="966" w:type="dxa"/>
            <w:hideMark/>
          </w:tcPr>
          <w:p w14:paraId="74ECA3CB" w14:textId="176E8458" w:rsidR="00AC32D4" w:rsidRPr="00E73D4A" w:rsidRDefault="00AC32D4" w:rsidP="00FA5A37">
            <w:pPr>
              <w:pStyle w:val="Form-Bodytext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5</w:t>
            </w:r>
          </w:p>
        </w:tc>
        <w:tc>
          <w:tcPr>
            <w:tcW w:w="1149" w:type="dxa"/>
            <w:hideMark/>
          </w:tcPr>
          <w:p w14:paraId="35549683" w14:textId="6FEF1159"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150 µg/m</w:t>
            </w:r>
            <w:r w:rsidRPr="00E73D4A">
              <w:rPr>
                <w:rFonts w:ascii="Arial" w:hAnsi="Arial" w:cs="Arial"/>
                <w:sz w:val="16"/>
                <w:szCs w:val="16"/>
                <w:vertAlign w:val="superscript"/>
              </w:rPr>
              <w:t>3</w:t>
            </w:r>
            <w:r w:rsidRPr="00E73D4A">
              <w:rPr>
                <w:rFonts w:ascii="Arial" w:hAnsi="Arial" w:cs="Arial"/>
                <w:sz w:val="16"/>
                <w:szCs w:val="16"/>
              </w:rPr>
              <w:t> </w:t>
            </w:r>
          </w:p>
        </w:tc>
        <w:tc>
          <w:tcPr>
            <w:tcW w:w="1149" w:type="dxa"/>
            <w:hideMark/>
          </w:tcPr>
          <w:p w14:paraId="091EEB7F"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120 µg/m</w:t>
            </w:r>
            <w:r w:rsidRPr="00E73D4A">
              <w:rPr>
                <w:rFonts w:ascii="Arial" w:hAnsi="Arial" w:cs="Arial"/>
                <w:sz w:val="16"/>
                <w:szCs w:val="16"/>
                <w:vertAlign w:val="superscript"/>
              </w:rPr>
              <w:t>3</w:t>
            </w:r>
            <w:r w:rsidRPr="00E73D4A">
              <w:rPr>
                <w:rFonts w:ascii="Arial" w:hAnsi="Arial" w:cs="Arial"/>
                <w:sz w:val="16"/>
                <w:szCs w:val="16"/>
              </w:rPr>
              <w:t> </w:t>
            </w:r>
          </w:p>
        </w:tc>
        <w:tc>
          <w:tcPr>
            <w:tcW w:w="3465" w:type="dxa"/>
            <w:hideMark/>
          </w:tcPr>
          <w:p w14:paraId="023D1AB1" w14:textId="7807CFFC" w:rsidR="00AC32D4" w:rsidRPr="00E73D4A" w:rsidRDefault="00176826"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A</w:t>
            </w:r>
            <w:r w:rsidR="00AC32D4" w:rsidRPr="00E73D4A">
              <w:rPr>
                <w:rFonts w:ascii="Arial" w:hAnsi="Arial" w:cs="Arial"/>
                <w:sz w:val="16"/>
                <w:szCs w:val="16"/>
              </w:rPr>
              <w:t xml:space="preserve"> minimum of 75 percent of the scheduled PM</w:t>
            </w:r>
            <w:r w:rsidR="00AC32D4" w:rsidRPr="00E73D4A">
              <w:rPr>
                <w:rFonts w:ascii="Arial" w:hAnsi="Arial" w:cs="Arial"/>
                <w:sz w:val="16"/>
                <w:szCs w:val="16"/>
                <w:vertAlign w:val="subscript"/>
              </w:rPr>
              <w:t>10</w:t>
            </w:r>
            <w:r w:rsidR="00AC32D4" w:rsidRPr="00E73D4A">
              <w:rPr>
                <w:rFonts w:ascii="Arial" w:hAnsi="Arial" w:cs="Arial"/>
                <w:sz w:val="16"/>
                <w:szCs w:val="16"/>
              </w:rPr>
              <w:t xml:space="preserve"> samples per quarter are required</w:t>
            </w:r>
            <w:r w:rsidR="0016441D">
              <w:rPr>
                <w:rFonts w:ascii="Arial" w:hAnsi="Arial" w:cs="Arial"/>
                <w:sz w:val="16"/>
                <w:szCs w:val="16"/>
              </w:rPr>
              <w:t>.</w:t>
            </w:r>
          </w:p>
        </w:tc>
        <w:tc>
          <w:tcPr>
            <w:tcW w:w="3465" w:type="dxa"/>
            <w:hideMark/>
          </w:tcPr>
          <w:p w14:paraId="7D35AA93" w14:textId="02FCBEC5"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 xml:space="preserve">The NAAQS metric is the annual estimated number of exceedances, averaged over </w:t>
            </w:r>
            <w:r w:rsidR="009E7CC4">
              <w:rPr>
                <w:rFonts w:ascii="Arial" w:hAnsi="Arial" w:cs="Arial"/>
                <w:sz w:val="16"/>
                <w:szCs w:val="16"/>
              </w:rPr>
              <w:t>3 </w:t>
            </w:r>
            <w:r w:rsidRPr="00E73D4A">
              <w:rPr>
                <w:rFonts w:ascii="Arial" w:hAnsi="Arial" w:cs="Arial"/>
                <w:sz w:val="16"/>
                <w:szCs w:val="16"/>
              </w:rPr>
              <w:t>consecutive years.</w:t>
            </w:r>
          </w:p>
        </w:tc>
      </w:tr>
      <w:tr w:rsidR="00A60645" w:rsidRPr="00AC32D4" w14:paraId="296B4CB4" w14:textId="77777777" w:rsidTr="00D3152D">
        <w:trPr>
          <w:cantSplit/>
          <w:trHeight w:val="242"/>
        </w:trPr>
        <w:tc>
          <w:tcPr>
            <w:cnfStyle w:val="001000000000" w:firstRow="0" w:lastRow="0" w:firstColumn="1" w:lastColumn="0" w:oddVBand="0" w:evenVBand="0" w:oddHBand="0" w:evenHBand="0" w:firstRowFirstColumn="0" w:firstRowLastColumn="0" w:lastRowFirstColumn="0" w:lastRowLastColumn="0"/>
            <w:tcW w:w="1886" w:type="dxa"/>
            <w:hideMark/>
          </w:tcPr>
          <w:p w14:paraId="6CDCCFF2" w14:textId="4EC5EE1A" w:rsidR="00AC32D4" w:rsidRPr="00E73D4A" w:rsidRDefault="00AC32D4" w:rsidP="00D3152D">
            <w:pPr>
              <w:spacing w:before="120" w:after="20" w:line="259" w:lineRule="auto"/>
              <w:textAlignment w:val="baseline"/>
              <w:rPr>
                <w:rFonts w:ascii="Arial" w:hAnsi="Arial" w:cs="Arial"/>
                <w:b w:val="0"/>
                <w:bCs w:val="0"/>
                <w:sz w:val="16"/>
                <w:szCs w:val="16"/>
              </w:rPr>
            </w:pPr>
            <w:r w:rsidRPr="00E73D4A">
              <w:rPr>
                <w:rFonts w:ascii="Arial" w:hAnsi="Arial" w:cs="Arial"/>
                <w:sz w:val="16"/>
                <w:szCs w:val="16"/>
              </w:rPr>
              <w:t>TSP Annual Primary</w:t>
            </w:r>
            <w:r w:rsidR="00342B17" w:rsidRPr="00E73D4A">
              <w:rPr>
                <w:rFonts w:ascii="Arial" w:hAnsi="Arial" w:cs="Arial"/>
                <w:sz w:val="16"/>
                <w:szCs w:val="16"/>
              </w:rPr>
              <w:t xml:space="preserve"> </w:t>
            </w:r>
            <w:hyperlink r:id="rId16" w:history="1">
              <w:r w:rsidR="00342B17" w:rsidRPr="00E73D4A">
                <w:rPr>
                  <w:rFonts w:ascii="Arial" w:hAnsi="Arial" w:cs="Arial"/>
                  <w:color w:val="0563C1"/>
                  <w:sz w:val="16"/>
                  <w:szCs w:val="16"/>
                  <w:u w:val="single"/>
                </w:rPr>
                <w:t>(Minn. R. 7009.0080)</w:t>
              </w:r>
            </w:hyperlink>
          </w:p>
        </w:tc>
        <w:tc>
          <w:tcPr>
            <w:tcW w:w="965" w:type="dxa"/>
            <w:hideMark/>
          </w:tcPr>
          <w:p w14:paraId="6E226368" w14:textId="05D7F532" w:rsidR="00AC32D4" w:rsidRPr="00E73D4A" w:rsidRDefault="00AC32D4" w:rsidP="00FA5A37">
            <w:pPr>
              <w:pStyle w:val="Form-Bodytext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1</w:t>
            </w:r>
          </w:p>
        </w:tc>
        <w:tc>
          <w:tcPr>
            <w:tcW w:w="966" w:type="dxa"/>
            <w:hideMark/>
          </w:tcPr>
          <w:p w14:paraId="384C8D95" w14:textId="48E62EBE" w:rsidR="00AC32D4" w:rsidRPr="00E73D4A" w:rsidRDefault="00AC32D4" w:rsidP="00FA5A37">
            <w:pPr>
              <w:pStyle w:val="Form-Bodytext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3</w:t>
            </w:r>
          </w:p>
        </w:tc>
        <w:tc>
          <w:tcPr>
            <w:tcW w:w="1149" w:type="dxa"/>
            <w:hideMark/>
          </w:tcPr>
          <w:p w14:paraId="6BE07042" w14:textId="6E70941D"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75 µg/m</w:t>
            </w:r>
            <w:r w:rsidRPr="00E73D4A">
              <w:rPr>
                <w:rFonts w:ascii="Arial" w:hAnsi="Arial" w:cs="Arial"/>
                <w:sz w:val="16"/>
                <w:szCs w:val="16"/>
                <w:vertAlign w:val="superscript"/>
              </w:rPr>
              <w:t>3</w:t>
            </w:r>
            <w:r w:rsidRPr="00E73D4A">
              <w:rPr>
                <w:rFonts w:ascii="Arial" w:hAnsi="Arial" w:cs="Arial"/>
                <w:sz w:val="16"/>
                <w:szCs w:val="16"/>
              </w:rPr>
              <w:t> </w:t>
            </w:r>
          </w:p>
        </w:tc>
        <w:tc>
          <w:tcPr>
            <w:tcW w:w="1149" w:type="dxa"/>
            <w:hideMark/>
          </w:tcPr>
          <w:p w14:paraId="1C3F79BB"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60 µg/m</w:t>
            </w:r>
            <w:r w:rsidRPr="00E73D4A">
              <w:rPr>
                <w:rFonts w:ascii="Arial" w:hAnsi="Arial" w:cs="Arial"/>
                <w:sz w:val="16"/>
                <w:szCs w:val="16"/>
                <w:vertAlign w:val="superscript"/>
              </w:rPr>
              <w:t>3</w:t>
            </w:r>
            <w:r w:rsidRPr="00E73D4A">
              <w:rPr>
                <w:rFonts w:ascii="Arial" w:hAnsi="Arial" w:cs="Arial"/>
                <w:sz w:val="16"/>
                <w:szCs w:val="16"/>
              </w:rPr>
              <w:t> </w:t>
            </w:r>
          </w:p>
        </w:tc>
        <w:tc>
          <w:tcPr>
            <w:tcW w:w="3465" w:type="dxa"/>
            <w:hideMark/>
          </w:tcPr>
          <w:p w14:paraId="4A2DC82F" w14:textId="29CC8F76"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As specified in monitoring plan.</w:t>
            </w:r>
          </w:p>
        </w:tc>
        <w:tc>
          <w:tcPr>
            <w:tcW w:w="3465" w:type="dxa"/>
            <w:hideMark/>
          </w:tcPr>
          <w:p w14:paraId="59659754" w14:textId="4E638AAE"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Annual geometric mean concentration does not exceed standard.</w:t>
            </w:r>
          </w:p>
        </w:tc>
      </w:tr>
      <w:tr w:rsidR="00A60645" w:rsidRPr="00AC32D4" w14:paraId="7047F8E2" w14:textId="77777777" w:rsidTr="00D3152D">
        <w:trPr>
          <w:cantSplit/>
          <w:trHeight w:val="530"/>
        </w:trPr>
        <w:tc>
          <w:tcPr>
            <w:cnfStyle w:val="001000000000" w:firstRow="0" w:lastRow="0" w:firstColumn="1" w:lastColumn="0" w:oddVBand="0" w:evenVBand="0" w:oddHBand="0" w:evenHBand="0" w:firstRowFirstColumn="0" w:firstRowLastColumn="0" w:lastRowFirstColumn="0" w:lastRowLastColumn="0"/>
            <w:tcW w:w="1886" w:type="dxa"/>
            <w:hideMark/>
          </w:tcPr>
          <w:p w14:paraId="146A7168" w14:textId="77A45362" w:rsidR="00AC32D4" w:rsidRPr="00E73D4A" w:rsidRDefault="00AC32D4" w:rsidP="00D3152D">
            <w:pPr>
              <w:spacing w:before="120" w:after="20" w:line="259" w:lineRule="auto"/>
              <w:textAlignment w:val="baseline"/>
              <w:rPr>
                <w:rFonts w:ascii="Arial" w:hAnsi="Arial" w:cs="Arial"/>
                <w:sz w:val="16"/>
                <w:szCs w:val="16"/>
              </w:rPr>
            </w:pPr>
            <w:r w:rsidRPr="00E73D4A">
              <w:rPr>
                <w:rFonts w:ascii="Arial" w:hAnsi="Arial" w:cs="Arial"/>
                <w:sz w:val="16"/>
                <w:szCs w:val="16"/>
              </w:rPr>
              <w:t>TSP Annual Secondary</w:t>
            </w:r>
            <w:r w:rsidR="00FA2915">
              <w:rPr>
                <w:rFonts w:ascii="Arial" w:hAnsi="Arial" w:cs="Arial"/>
                <w:sz w:val="16"/>
                <w:szCs w:val="16"/>
              </w:rPr>
              <w:br/>
            </w:r>
            <w:hyperlink r:id="rId17" w:history="1">
              <w:r w:rsidR="00342B17" w:rsidRPr="00E73D4A">
                <w:rPr>
                  <w:rFonts w:ascii="Arial" w:hAnsi="Arial" w:cs="Arial"/>
                  <w:color w:val="0563C1"/>
                  <w:sz w:val="16"/>
                  <w:szCs w:val="16"/>
                  <w:u w:val="single"/>
                </w:rPr>
                <w:t>(Minn. R. 7009.0080)</w:t>
              </w:r>
            </w:hyperlink>
          </w:p>
        </w:tc>
        <w:tc>
          <w:tcPr>
            <w:tcW w:w="965" w:type="dxa"/>
            <w:hideMark/>
          </w:tcPr>
          <w:p w14:paraId="528D585B" w14:textId="419C15FA" w:rsidR="00AC32D4" w:rsidRPr="00E73D4A" w:rsidRDefault="00AC32D4" w:rsidP="00FA5A37">
            <w:pPr>
              <w:pStyle w:val="Form-Bodytext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1</w:t>
            </w:r>
          </w:p>
        </w:tc>
        <w:tc>
          <w:tcPr>
            <w:tcW w:w="966" w:type="dxa"/>
            <w:hideMark/>
          </w:tcPr>
          <w:p w14:paraId="13837008" w14:textId="1C03E154" w:rsidR="00AC32D4" w:rsidRPr="00E73D4A" w:rsidRDefault="00AC32D4" w:rsidP="00FA5A37">
            <w:pPr>
              <w:pStyle w:val="Form-Bodytext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3</w:t>
            </w:r>
          </w:p>
        </w:tc>
        <w:tc>
          <w:tcPr>
            <w:tcW w:w="1149" w:type="dxa"/>
            <w:hideMark/>
          </w:tcPr>
          <w:p w14:paraId="346D95A2"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60 µg/m</w:t>
            </w:r>
            <w:r w:rsidRPr="00E73D4A">
              <w:rPr>
                <w:rFonts w:ascii="Arial" w:hAnsi="Arial" w:cs="Arial"/>
                <w:sz w:val="16"/>
                <w:szCs w:val="16"/>
                <w:vertAlign w:val="superscript"/>
              </w:rPr>
              <w:t>3</w:t>
            </w:r>
            <w:r w:rsidRPr="00E73D4A">
              <w:rPr>
                <w:rFonts w:ascii="Arial" w:hAnsi="Arial" w:cs="Arial"/>
                <w:sz w:val="16"/>
                <w:szCs w:val="16"/>
              </w:rPr>
              <w:t> </w:t>
            </w:r>
          </w:p>
        </w:tc>
        <w:tc>
          <w:tcPr>
            <w:tcW w:w="1149" w:type="dxa"/>
            <w:hideMark/>
          </w:tcPr>
          <w:p w14:paraId="6B124090"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48 µg/m</w:t>
            </w:r>
            <w:r w:rsidRPr="00E73D4A">
              <w:rPr>
                <w:rFonts w:ascii="Arial" w:hAnsi="Arial" w:cs="Arial"/>
                <w:sz w:val="16"/>
                <w:szCs w:val="16"/>
                <w:vertAlign w:val="superscript"/>
              </w:rPr>
              <w:t>3</w:t>
            </w:r>
            <w:r w:rsidRPr="00E73D4A">
              <w:rPr>
                <w:rFonts w:ascii="Arial" w:hAnsi="Arial" w:cs="Arial"/>
                <w:sz w:val="16"/>
                <w:szCs w:val="16"/>
              </w:rPr>
              <w:t> </w:t>
            </w:r>
          </w:p>
        </w:tc>
        <w:tc>
          <w:tcPr>
            <w:tcW w:w="3465" w:type="dxa"/>
            <w:hideMark/>
          </w:tcPr>
          <w:p w14:paraId="3643D6EA" w14:textId="01856FA2"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As specified in monitoring plan.</w:t>
            </w:r>
          </w:p>
        </w:tc>
        <w:tc>
          <w:tcPr>
            <w:tcW w:w="3465" w:type="dxa"/>
            <w:hideMark/>
          </w:tcPr>
          <w:p w14:paraId="6398998F" w14:textId="2FE33CB1"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Annual geometric mean concentration does not exceed standard.</w:t>
            </w:r>
          </w:p>
        </w:tc>
      </w:tr>
      <w:tr w:rsidR="00A60645" w:rsidRPr="00AC32D4" w14:paraId="1436D501" w14:textId="77777777" w:rsidTr="00D3152D">
        <w:trPr>
          <w:cantSplit/>
          <w:trHeight w:val="530"/>
        </w:trPr>
        <w:tc>
          <w:tcPr>
            <w:cnfStyle w:val="001000000000" w:firstRow="0" w:lastRow="0" w:firstColumn="1" w:lastColumn="0" w:oddVBand="0" w:evenVBand="0" w:oddHBand="0" w:evenHBand="0" w:firstRowFirstColumn="0" w:firstRowLastColumn="0" w:lastRowFirstColumn="0" w:lastRowLastColumn="0"/>
            <w:tcW w:w="1886" w:type="dxa"/>
            <w:hideMark/>
          </w:tcPr>
          <w:p w14:paraId="1423F28F" w14:textId="3CCB823E" w:rsidR="00AC32D4" w:rsidRPr="00E73D4A" w:rsidRDefault="00AC32D4" w:rsidP="00D3152D">
            <w:pPr>
              <w:spacing w:before="120" w:after="20" w:line="259" w:lineRule="auto"/>
              <w:textAlignment w:val="baseline"/>
              <w:rPr>
                <w:rFonts w:ascii="Arial" w:hAnsi="Arial" w:cs="Arial"/>
                <w:sz w:val="16"/>
                <w:szCs w:val="16"/>
              </w:rPr>
            </w:pPr>
            <w:r w:rsidRPr="00E73D4A">
              <w:rPr>
                <w:rFonts w:ascii="Arial" w:hAnsi="Arial" w:cs="Arial"/>
                <w:sz w:val="16"/>
                <w:szCs w:val="16"/>
              </w:rPr>
              <w:t>TSP 24-hour primary</w:t>
            </w:r>
            <w:r w:rsidR="00FA2915">
              <w:rPr>
                <w:rFonts w:ascii="Arial" w:hAnsi="Arial" w:cs="Arial"/>
                <w:sz w:val="16"/>
                <w:szCs w:val="16"/>
              </w:rPr>
              <w:br/>
            </w:r>
            <w:hyperlink r:id="rId18" w:history="1">
              <w:r w:rsidR="00342B17" w:rsidRPr="00E73D4A">
                <w:rPr>
                  <w:rFonts w:ascii="Arial" w:hAnsi="Arial" w:cs="Arial"/>
                  <w:color w:val="0563C1"/>
                  <w:sz w:val="16"/>
                  <w:szCs w:val="16"/>
                  <w:u w:val="single"/>
                </w:rPr>
                <w:t>(Minn. R. 7009.0080)</w:t>
              </w:r>
            </w:hyperlink>
          </w:p>
        </w:tc>
        <w:tc>
          <w:tcPr>
            <w:tcW w:w="965" w:type="dxa"/>
            <w:hideMark/>
          </w:tcPr>
          <w:p w14:paraId="421D268D" w14:textId="5BE80E42" w:rsidR="00AC32D4" w:rsidRPr="00E73D4A" w:rsidRDefault="00AC32D4" w:rsidP="00FA5A37">
            <w:pPr>
              <w:pStyle w:val="Form-Bodytext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1</w:t>
            </w:r>
          </w:p>
        </w:tc>
        <w:tc>
          <w:tcPr>
            <w:tcW w:w="966" w:type="dxa"/>
            <w:hideMark/>
          </w:tcPr>
          <w:p w14:paraId="735CB773" w14:textId="7077E366" w:rsidR="00AC32D4" w:rsidRPr="00E73D4A" w:rsidRDefault="00AC32D4" w:rsidP="00FA5A37">
            <w:pPr>
              <w:pStyle w:val="Form-Bodytext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3</w:t>
            </w:r>
          </w:p>
        </w:tc>
        <w:tc>
          <w:tcPr>
            <w:tcW w:w="1149" w:type="dxa"/>
            <w:hideMark/>
          </w:tcPr>
          <w:p w14:paraId="46F6BAE0"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260 µg/m</w:t>
            </w:r>
            <w:r w:rsidRPr="00E73D4A">
              <w:rPr>
                <w:rFonts w:ascii="Arial" w:hAnsi="Arial" w:cs="Arial"/>
                <w:sz w:val="16"/>
                <w:szCs w:val="16"/>
                <w:vertAlign w:val="superscript"/>
              </w:rPr>
              <w:t>3</w:t>
            </w:r>
            <w:r w:rsidRPr="00E73D4A">
              <w:rPr>
                <w:rFonts w:ascii="Arial" w:hAnsi="Arial" w:cs="Arial"/>
                <w:sz w:val="16"/>
                <w:szCs w:val="16"/>
              </w:rPr>
              <w:t> </w:t>
            </w:r>
          </w:p>
        </w:tc>
        <w:tc>
          <w:tcPr>
            <w:tcW w:w="1149" w:type="dxa"/>
            <w:hideMark/>
          </w:tcPr>
          <w:p w14:paraId="026C0636"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208 µg/m</w:t>
            </w:r>
            <w:r w:rsidRPr="00E73D4A">
              <w:rPr>
                <w:rFonts w:ascii="Arial" w:hAnsi="Arial" w:cs="Arial"/>
                <w:sz w:val="16"/>
                <w:szCs w:val="16"/>
                <w:vertAlign w:val="superscript"/>
              </w:rPr>
              <w:t>3</w:t>
            </w:r>
            <w:r w:rsidRPr="00E73D4A">
              <w:rPr>
                <w:rFonts w:ascii="Arial" w:hAnsi="Arial" w:cs="Arial"/>
                <w:sz w:val="16"/>
                <w:szCs w:val="16"/>
              </w:rPr>
              <w:t> </w:t>
            </w:r>
          </w:p>
        </w:tc>
        <w:tc>
          <w:tcPr>
            <w:tcW w:w="3465" w:type="dxa"/>
            <w:hideMark/>
          </w:tcPr>
          <w:p w14:paraId="0536E923" w14:textId="7B7DB420"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As specified in monitoring plan.</w:t>
            </w:r>
          </w:p>
        </w:tc>
        <w:tc>
          <w:tcPr>
            <w:tcW w:w="3465" w:type="dxa"/>
            <w:hideMark/>
          </w:tcPr>
          <w:p w14:paraId="269A9AF1" w14:textId="3B9C18CF"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Annual second-high 24-hour concentration does not exceed standard.</w:t>
            </w:r>
          </w:p>
        </w:tc>
      </w:tr>
      <w:tr w:rsidR="00A60645" w:rsidRPr="00AC32D4" w14:paraId="6E8C444C" w14:textId="77777777" w:rsidTr="00D3152D">
        <w:trPr>
          <w:cantSplit/>
          <w:trHeight w:val="512"/>
        </w:trPr>
        <w:tc>
          <w:tcPr>
            <w:cnfStyle w:val="001000000000" w:firstRow="0" w:lastRow="0" w:firstColumn="1" w:lastColumn="0" w:oddVBand="0" w:evenVBand="0" w:oddHBand="0" w:evenHBand="0" w:firstRowFirstColumn="0" w:firstRowLastColumn="0" w:lastRowFirstColumn="0" w:lastRowLastColumn="0"/>
            <w:tcW w:w="1886" w:type="dxa"/>
            <w:hideMark/>
          </w:tcPr>
          <w:p w14:paraId="16963A34" w14:textId="31610891" w:rsidR="00AC32D4" w:rsidRPr="00E73D4A" w:rsidRDefault="00AC32D4" w:rsidP="00D3152D">
            <w:pPr>
              <w:spacing w:before="120" w:after="20" w:line="259" w:lineRule="auto"/>
              <w:textAlignment w:val="baseline"/>
              <w:rPr>
                <w:rFonts w:ascii="Arial" w:hAnsi="Arial" w:cs="Arial"/>
                <w:sz w:val="16"/>
                <w:szCs w:val="16"/>
              </w:rPr>
            </w:pPr>
            <w:r w:rsidRPr="00E73D4A">
              <w:rPr>
                <w:rFonts w:ascii="Arial" w:hAnsi="Arial" w:cs="Arial"/>
                <w:sz w:val="16"/>
                <w:szCs w:val="16"/>
              </w:rPr>
              <w:t>TSP 24-hour secondary</w:t>
            </w:r>
            <w:r w:rsidR="00FA2915">
              <w:rPr>
                <w:rFonts w:ascii="Arial" w:hAnsi="Arial" w:cs="Arial"/>
                <w:sz w:val="16"/>
                <w:szCs w:val="16"/>
              </w:rPr>
              <w:br/>
            </w:r>
            <w:hyperlink r:id="rId19" w:history="1">
              <w:r w:rsidR="00342B17" w:rsidRPr="00E73D4A">
                <w:rPr>
                  <w:rFonts w:ascii="Arial" w:hAnsi="Arial" w:cs="Arial"/>
                  <w:color w:val="0563C1"/>
                  <w:sz w:val="16"/>
                  <w:szCs w:val="16"/>
                  <w:u w:val="single"/>
                </w:rPr>
                <w:t>(Minn. R. 7009.0080)</w:t>
              </w:r>
            </w:hyperlink>
          </w:p>
        </w:tc>
        <w:tc>
          <w:tcPr>
            <w:tcW w:w="965" w:type="dxa"/>
            <w:hideMark/>
          </w:tcPr>
          <w:p w14:paraId="1C43ACE1" w14:textId="425BAFB3" w:rsidR="00AC32D4" w:rsidRPr="00E73D4A" w:rsidRDefault="00AC32D4" w:rsidP="00FA5A37">
            <w:pPr>
              <w:pStyle w:val="Form-Bodytext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1</w:t>
            </w:r>
          </w:p>
        </w:tc>
        <w:tc>
          <w:tcPr>
            <w:tcW w:w="966" w:type="dxa"/>
            <w:hideMark/>
          </w:tcPr>
          <w:p w14:paraId="6B4BF69C" w14:textId="52703261" w:rsidR="00AC32D4" w:rsidRPr="00E73D4A" w:rsidRDefault="00AC32D4" w:rsidP="00FA5A37">
            <w:pPr>
              <w:pStyle w:val="Form-Bodytext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3</w:t>
            </w:r>
          </w:p>
        </w:tc>
        <w:tc>
          <w:tcPr>
            <w:tcW w:w="1149" w:type="dxa"/>
            <w:hideMark/>
          </w:tcPr>
          <w:p w14:paraId="5C40B013"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150 µg/m</w:t>
            </w:r>
            <w:r w:rsidRPr="00E73D4A">
              <w:rPr>
                <w:rFonts w:ascii="Arial" w:hAnsi="Arial" w:cs="Arial"/>
                <w:sz w:val="16"/>
                <w:szCs w:val="16"/>
                <w:vertAlign w:val="superscript"/>
              </w:rPr>
              <w:t>3</w:t>
            </w:r>
            <w:r w:rsidRPr="00E73D4A">
              <w:rPr>
                <w:rFonts w:ascii="Arial" w:hAnsi="Arial" w:cs="Arial"/>
                <w:sz w:val="16"/>
                <w:szCs w:val="16"/>
              </w:rPr>
              <w:t> </w:t>
            </w:r>
          </w:p>
        </w:tc>
        <w:tc>
          <w:tcPr>
            <w:tcW w:w="1149" w:type="dxa"/>
            <w:hideMark/>
          </w:tcPr>
          <w:p w14:paraId="38AFB2A0"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120 µg/m</w:t>
            </w:r>
            <w:r w:rsidRPr="00E73D4A">
              <w:rPr>
                <w:rFonts w:ascii="Arial" w:hAnsi="Arial" w:cs="Arial"/>
                <w:sz w:val="16"/>
                <w:szCs w:val="16"/>
                <w:vertAlign w:val="superscript"/>
              </w:rPr>
              <w:t>3</w:t>
            </w:r>
            <w:r w:rsidRPr="00E73D4A">
              <w:rPr>
                <w:rFonts w:ascii="Arial" w:hAnsi="Arial" w:cs="Arial"/>
                <w:sz w:val="16"/>
                <w:szCs w:val="16"/>
              </w:rPr>
              <w:t> </w:t>
            </w:r>
          </w:p>
        </w:tc>
        <w:tc>
          <w:tcPr>
            <w:tcW w:w="3465" w:type="dxa"/>
            <w:hideMark/>
          </w:tcPr>
          <w:p w14:paraId="47648947" w14:textId="21258EC0"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As specified in monitoring plan.</w:t>
            </w:r>
          </w:p>
        </w:tc>
        <w:tc>
          <w:tcPr>
            <w:tcW w:w="3465" w:type="dxa"/>
            <w:hideMark/>
          </w:tcPr>
          <w:p w14:paraId="76F34ADF" w14:textId="7E9DE1DB"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Annual second-high 24-hour concentration does not exceed standard.</w:t>
            </w:r>
          </w:p>
        </w:tc>
      </w:tr>
      <w:tr w:rsidR="00A60645" w:rsidRPr="00AC32D4" w14:paraId="7E72AA39" w14:textId="77777777" w:rsidTr="00D3152D">
        <w:trPr>
          <w:cantSplit/>
          <w:trHeight w:val="332"/>
        </w:trPr>
        <w:tc>
          <w:tcPr>
            <w:cnfStyle w:val="001000000000" w:firstRow="0" w:lastRow="0" w:firstColumn="1" w:lastColumn="0" w:oddVBand="0" w:evenVBand="0" w:oddHBand="0" w:evenHBand="0" w:firstRowFirstColumn="0" w:firstRowLastColumn="0" w:lastRowFirstColumn="0" w:lastRowLastColumn="0"/>
            <w:tcW w:w="1886" w:type="dxa"/>
            <w:hideMark/>
          </w:tcPr>
          <w:p w14:paraId="1624F80C" w14:textId="75CE8781" w:rsidR="00AC32D4" w:rsidRPr="00E73D4A" w:rsidRDefault="00AC32D4" w:rsidP="00D3152D">
            <w:pPr>
              <w:spacing w:before="120" w:after="20" w:line="259" w:lineRule="auto"/>
              <w:textAlignment w:val="baseline"/>
              <w:rPr>
                <w:rFonts w:ascii="Arial" w:hAnsi="Arial" w:cs="Arial"/>
                <w:sz w:val="16"/>
                <w:szCs w:val="16"/>
              </w:rPr>
            </w:pPr>
            <w:r w:rsidRPr="00E73D4A">
              <w:rPr>
                <w:rFonts w:ascii="Arial" w:hAnsi="Arial" w:cs="Arial"/>
                <w:sz w:val="16"/>
                <w:szCs w:val="16"/>
              </w:rPr>
              <w:t>H2S 30 ppb</w:t>
            </w:r>
            <w:r w:rsidR="00FA2915">
              <w:rPr>
                <w:rFonts w:ascii="Arial" w:hAnsi="Arial" w:cs="Arial"/>
                <w:sz w:val="16"/>
                <w:szCs w:val="16"/>
              </w:rPr>
              <w:br/>
            </w:r>
            <w:hyperlink r:id="rId20" w:history="1">
              <w:r w:rsidR="00342B17" w:rsidRPr="00E73D4A">
                <w:rPr>
                  <w:rFonts w:ascii="Arial" w:hAnsi="Arial" w:cs="Arial"/>
                  <w:color w:val="0563C1"/>
                  <w:sz w:val="16"/>
                  <w:szCs w:val="16"/>
                  <w:u w:val="single"/>
                </w:rPr>
                <w:t>(Minn. R. 7009.0080)</w:t>
              </w:r>
            </w:hyperlink>
          </w:p>
        </w:tc>
        <w:tc>
          <w:tcPr>
            <w:tcW w:w="965" w:type="dxa"/>
            <w:hideMark/>
          </w:tcPr>
          <w:p w14:paraId="234C8F25" w14:textId="3549909A" w:rsidR="00AC32D4" w:rsidRPr="00E73D4A" w:rsidRDefault="00AC32D4" w:rsidP="00FA5A37">
            <w:pPr>
              <w:pStyle w:val="Form-Bodytext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1</w:t>
            </w:r>
          </w:p>
        </w:tc>
        <w:tc>
          <w:tcPr>
            <w:tcW w:w="966" w:type="dxa"/>
            <w:hideMark/>
          </w:tcPr>
          <w:p w14:paraId="4B1C4D6A" w14:textId="623D23DB" w:rsidR="00AC32D4" w:rsidRPr="00E73D4A" w:rsidRDefault="00AC32D4" w:rsidP="00FA5A37">
            <w:pPr>
              <w:pStyle w:val="Form-Bodytext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3</w:t>
            </w:r>
          </w:p>
        </w:tc>
        <w:tc>
          <w:tcPr>
            <w:tcW w:w="1149" w:type="dxa"/>
            <w:hideMark/>
          </w:tcPr>
          <w:p w14:paraId="17D2C695"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0.03 ppmv</w:t>
            </w:r>
          </w:p>
        </w:tc>
        <w:tc>
          <w:tcPr>
            <w:tcW w:w="1149" w:type="dxa"/>
            <w:hideMark/>
          </w:tcPr>
          <w:p w14:paraId="0C190B43"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0.024 ppmv</w:t>
            </w:r>
          </w:p>
        </w:tc>
        <w:tc>
          <w:tcPr>
            <w:tcW w:w="3465" w:type="dxa"/>
            <w:hideMark/>
          </w:tcPr>
          <w:p w14:paraId="37D1C79B"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75% (as specified in monitoring plan)</w:t>
            </w:r>
          </w:p>
        </w:tc>
        <w:tc>
          <w:tcPr>
            <w:tcW w:w="3465" w:type="dxa"/>
            <w:hideMark/>
          </w:tcPr>
          <w:p w14:paraId="05E35CFB" w14:textId="3F72AB7F"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30-minute average not to be exceeded more than two times in 5 consecutive days.</w:t>
            </w:r>
          </w:p>
        </w:tc>
      </w:tr>
      <w:tr w:rsidR="00A60645" w:rsidRPr="00AC32D4" w14:paraId="67DE3071" w14:textId="77777777" w:rsidTr="00D3152D">
        <w:trPr>
          <w:cantSplit/>
          <w:trHeight w:val="341"/>
        </w:trPr>
        <w:tc>
          <w:tcPr>
            <w:cnfStyle w:val="001000000000" w:firstRow="0" w:lastRow="0" w:firstColumn="1" w:lastColumn="0" w:oddVBand="0" w:evenVBand="0" w:oddHBand="0" w:evenHBand="0" w:firstRowFirstColumn="0" w:firstRowLastColumn="0" w:lastRowFirstColumn="0" w:lastRowLastColumn="0"/>
            <w:tcW w:w="1886" w:type="dxa"/>
            <w:hideMark/>
          </w:tcPr>
          <w:p w14:paraId="0FF950E2" w14:textId="7502B520" w:rsidR="00AC32D4" w:rsidRPr="00E73D4A" w:rsidRDefault="00AC32D4" w:rsidP="00D3152D">
            <w:pPr>
              <w:spacing w:before="120" w:after="20" w:line="259" w:lineRule="auto"/>
              <w:textAlignment w:val="baseline"/>
              <w:rPr>
                <w:rFonts w:ascii="Arial" w:hAnsi="Arial" w:cs="Arial"/>
                <w:sz w:val="16"/>
                <w:szCs w:val="16"/>
              </w:rPr>
            </w:pPr>
            <w:r w:rsidRPr="00E73D4A">
              <w:rPr>
                <w:rFonts w:ascii="Arial" w:hAnsi="Arial" w:cs="Arial"/>
                <w:sz w:val="16"/>
                <w:szCs w:val="16"/>
              </w:rPr>
              <w:t>H2S 50 ppb</w:t>
            </w:r>
            <w:r w:rsidR="00FA2915">
              <w:rPr>
                <w:rFonts w:ascii="Arial" w:hAnsi="Arial" w:cs="Arial"/>
                <w:sz w:val="16"/>
                <w:szCs w:val="16"/>
              </w:rPr>
              <w:br/>
            </w:r>
            <w:hyperlink r:id="rId21" w:history="1">
              <w:r w:rsidR="00342B17" w:rsidRPr="00E73D4A">
                <w:rPr>
                  <w:rFonts w:ascii="Arial" w:hAnsi="Arial" w:cs="Arial"/>
                  <w:color w:val="0563C1"/>
                  <w:sz w:val="16"/>
                  <w:szCs w:val="16"/>
                  <w:u w:val="single"/>
                </w:rPr>
                <w:t>(Minn. R. 7009.0080)</w:t>
              </w:r>
            </w:hyperlink>
          </w:p>
        </w:tc>
        <w:tc>
          <w:tcPr>
            <w:tcW w:w="965" w:type="dxa"/>
            <w:hideMark/>
          </w:tcPr>
          <w:p w14:paraId="6AA0B176" w14:textId="5E958670" w:rsidR="00AC32D4" w:rsidRPr="00E73D4A" w:rsidRDefault="00AC32D4" w:rsidP="00FA5A37">
            <w:pPr>
              <w:pStyle w:val="Form-Bodytext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1</w:t>
            </w:r>
          </w:p>
        </w:tc>
        <w:tc>
          <w:tcPr>
            <w:tcW w:w="966" w:type="dxa"/>
            <w:hideMark/>
          </w:tcPr>
          <w:p w14:paraId="31C4E106" w14:textId="29535686" w:rsidR="00AC32D4" w:rsidRPr="00E73D4A" w:rsidRDefault="00AC32D4" w:rsidP="00FA5A37">
            <w:pPr>
              <w:pStyle w:val="Form-Bodytext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3</w:t>
            </w:r>
          </w:p>
        </w:tc>
        <w:tc>
          <w:tcPr>
            <w:tcW w:w="1149" w:type="dxa"/>
            <w:hideMark/>
          </w:tcPr>
          <w:p w14:paraId="68F95EE5"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0.05 ppmv</w:t>
            </w:r>
          </w:p>
        </w:tc>
        <w:tc>
          <w:tcPr>
            <w:tcW w:w="1149" w:type="dxa"/>
            <w:hideMark/>
          </w:tcPr>
          <w:p w14:paraId="41BA6E7A"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0.04 ppmv</w:t>
            </w:r>
          </w:p>
        </w:tc>
        <w:tc>
          <w:tcPr>
            <w:tcW w:w="3465" w:type="dxa"/>
            <w:hideMark/>
          </w:tcPr>
          <w:p w14:paraId="282D1EC1" w14:textId="38E23178"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75% (as specified in monitoring plan)</w:t>
            </w:r>
          </w:p>
        </w:tc>
        <w:tc>
          <w:tcPr>
            <w:tcW w:w="3465" w:type="dxa"/>
            <w:hideMark/>
          </w:tcPr>
          <w:p w14:paraId="6601A32F" w14:textId="175CEDCB"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 xml:space="preserve">30-minute average not to be exceeded more than two times in </w:t>
            </w:r>
            <w:r w:rsidR="008021A9">
              <w:rPr>
                <w:rFonts w:ascii="Arial" w:hAnsi="Arial" w:cs="Arial"/>
                <w:sz w:val="16"/>
                <w:szCs w:val="16"/>
              </w:rPr>
              <w:t>a</w:t>
            </w:r>
            <w:r w:rsidRPr="00E73D4A">
              <w:rPr>
                <w:rFonts w:ascii="Arial" w:hAnsi="Arial" w:cs="Arial"/>
                <w:sz w:val="16"/>
                <w:szCs w:val="16"/>
              </w:rPr>
              <w:t xml:space="preserve"> year.</w:t>
            </w:r>
          </w:p>
        </w:tc>
      </w:tr>
      <w:tr w:rsidR="00A60645" w:rsidRPr="00AC32D4" w14:paraId="460FCE45" w14:textId="77777777" w:rsidTr="00D3152D">
        <w:trPr>
          <w:cantSplit/>
          <w:trHeight w:val="300"/>
        </w:trPr>
        <w:tc>
          <w:tcPr>
            <w:cnfStyle w:val="001000000000" w:firstRow="0" w:lastRow="0" w:firstColumn="1" w:lastColumn="0" w:oddVBand="0" w:evenVBand="0" w:oddHBand="0" w:evenHBand="0" w:firstRowFirstColumn="0" w:firstRowLastColumn="0" w:lastRowFirstColumn="0" w:lastRowLastColumn="0"/>
            <w:tcW w:w="1886" w:type="dxa"/>
            <w:hideMark/>
          </w:tcPr>
          <w:p w14:paraId="51F54E3E" w14:textId="7DC01BC2" w:rsidR="00AC32D4" w:rsidRPr="00E73D4A" w:rsidRDefault="00AC32D4" w:rsidP="00E73D4A">
            <w:pPr>
              <w:spacing w:before="120" w:line="259" w:lineRule="auto"/>
              <w:textAlignment w:val="baseline"/>
              <w:rPr>
                <w:rFonts w:ascii="Arial" w:hAnsi="Arial" w:cs="Arial"/>
                <w:sz w:val="16"/>
                <w:szCs w:val="16"/>
              </w:rPr>
            </w:pPr>
            <w:r w:rsidRPr="00E73D4A">
              <w:rPr>
                <w:rFonts w:ascii="Arial" w:hAnsi="Arial" w:cs="Arial"/>
                <w:sz w:val="16"/>
                <w:szCs w:val="16"/>
              </w:rPr>
              <w:t>Lead</w:t>
            </w:r>
            <w:r w:rsidR="00FA2915">
              <w:rPr>
                <w:rFonts w:ascii="Arial" w:hAnsi="Arial" w:cs="Arial"/>
                <w:sz w:val="16"/>
                <w:szCs w:val="16"/>
              </w:rPr>
              <w:br/>
            </w:r>
            <w:hyperlink r:id="rId22">
              <w:r w:rsidR="00342B17" w:rsidRPr="00E73D4A">
                <w:rPr>
                  <w:rFonts w:ascii="Arial" w:hAnsi="Arial" w:cs="Arial"/>
                  <w:color w:val="0563C1"/>
                  <w:sz w:val="16"/>
                  <w:szCs w:val="16"/>
                  <w:u w:val="single"/>
                </w:rPr>
                <w:t>(40 CFR §50.16)</w:t>
              </w:r>
            </w:hyperlink>
          </w:p>
        </w:tc>
        <w:tc>
          <w:tcPr>
            <w:tcW w:w="965" w:type="dxa"/>
            <w:hideMark/>
          </w:tcPr>
          <w:p w14:paraId="4AC78FA4" w14:textId="7D2B125E" w:rsidR="00AC32D4" w:rsidRPr="00E73D4A" w:rsidRDefault="00AC32D4" w:rsidP="00FA5A37">
            <w:pPr>
              <w:pStyle w:val="Form-Bodytext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3</w:t>
            </w:r>
          </w:p>
        </w:tc>
        <w:tc>
          <w:tcPr>
            <w:tcW w:w="966" w:type="dxa"/>
            <w:hideMark/>
          </w:tcPr>
          <w:p w14:paraId="64DE6EBA" w14:textId="786C891F" w:rsidR="00AC32D4" w:rsidRPr="00E73D4A" w:rsidRDefault="00AC32D4" w:rsidP="00FA5A37">
            <w:pPr>
              <w:pStyle w:val="Form-Bodytext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5</w:t>
            </w:r>
          </w:p>
        </w:tc>
        <w:tc>
          <w:tcPr>
            <w:tcW w:w="1149" w:type="dxa"/>
            <w:hideMark/>
          </w:tcPr>
          <w:p w14:paraId="444AC1D7" w14:textId="46B9BF6B"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0.15 µg/m</w:t>
            </w:r>
            <w:r w:rsidRPr="00E73D4A">
              <w:rPr>
                <w:rFonts w:ascii="Arial" w:hAnsi="Arial" w:cs="Arial"/>
                <w:sz w:val="16"/>
                <w:szCs w:val="16"/>
                <w:vertAlign w:val="superscript"/>
              </w:rPr>
              <w:t>3</w:t>
            </w:r>
            <w:r w:rsidRPr="00E73D4A">
              <w:rPr>
                <w:rFonts w:ascii="Arial" w:hAnsi="Arial" w:cs="Arial"/>
                <w:sz w:val="16"/>
                <w:szCs w:val="16"/>
              </w:rPr>
              <w:t> </w:t>
            </w:r>
          </w:p>
        </w:tc>
        <w:tc>
          <w:tcPr>
            <w:tcW w:w="1149" w:type="dxa"/>
            <w:hideMark/>
          </w:tcPr>
          <w:p w14:paraId="02FB4102"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0.12 µg/m</w:t>
            </w:r>
            <w:r w:rsidRPr="00E73D4A">
              <w:rPr>
                <w:rFonts w:ascii="Arial" w:hAnsi="Arial" w:cs="Arial"/>
                <w:sz w:val="16"/>
                <w:szCs w:val="16"/>
                <w:vertAlign w:val="superscript"/>
              </w:rPr>
              <w:t>3</w:t>
            </w:r>
            <w:r w:rsidRPr="00E73D4A">
              <w:rPr>
                <w:rFonts w:ascii="Arial" w:hAnsi="Arial" w:cs="Arial"/>
                <w:sz w:val="16"/>
                <w:szCs w:val="16"/>
              </w:rPr>
              <w:t> </w:t>
            </w:r>
          </w:p>
        </w:tc>
        <w:tc>
          <w:tcPr>
            <w:tcW w:w="3465" w:type="dxa"/>
            <w:hideMark/>
          </w:tcPr>
          <w:p w14:paraId="7BF98C6A" w14:textId="5C5CB7C9"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3-month parameter mean is considered valid (</w:t>
            </w:r>
            <w:r w:rsidRPr="00E73D4A">
              <w:rPr>
                <w:rFonts w:ascii="Arial" w:hAnsi="Arial" w:cs="Arial"/>
                <w:i/>
                <w:iCs/>
                <w:sz w:val="16"/>
                <w:szCs w:val="16"/>
              </w:rPr>
              <w:t>i.e.</w:t>
            </w:r>
            <w:r w:rsidRPr="00E73D4A">
              <w:rPr>
                <w:rFonts w:ascii="Arial" w:hAnsi="Arial" w:cs="Arial"/>
                <w:sz w:val="16"/>
                <w:szCs w:val="16"/>
              </w:rPr>
              <w:t>, meets data completeness requirements) if the average of the data capture rate of the three constituent monthly means</w:t>
            </w:r>
            <w:r w:rsidR="008021A9">
              <w:rPr>
                <w:rFonts w:ascii="Arial" w:hAnsi="Arial" w:cs="Arial"/>
                <w:sz w:val="16"/>
                <w:szCs w:val="16"/>
              </w:rPr>
              <w:t xml:space="preserve"> </w:t>
            </w:r>
            <w:r w:rsidRPr="00E73D4A">
              <w:rPr>
                <w:rFonts w:ascii="Arial" w:hAnsi="Arial" w:cs="Arial"/>
                <w:sz w:val="16"/>
                <w:szCs w:val="16"/>
              </w:rPr>
              <w:t>(</w:t>
            </w:r>
            <w:r w:rsidRPr="00E73D4A">
              <w:rPr>
                <w:rFonts w:ascii="Arial" w:hAnsi="Arial" w:cs="Arial"/>
                <w:i/>
                <w:iCs/>
                <w:sz w:val="16"/>
                <w:szCs w:val="16"/>
              </w:rPr>
              <w:t>i.e.</w:t>
            </w:r>
            <w:r w:rsidRPr="00E73D4A">
              <w:rPr>
                <w:rFonts w:ascii="Arial" w:hAnsi="Arial" w:cs="Arial"/>
                <w:sz w:val="16"/>
                <w:szCs w:val="16"/>
              </w:rPr>
              <w:t xml:space="preserve">, the </w:t>
            </w:r>
            <w:r w:rsidR="008021A9">
              <w:rPr>
                <w:rFonts w:ascii="Arial" w:hAnsi="Arial" w:cs="Arial"/>
                <w:sz w:val="16"/>
                <w:szCs w:val="16"/>
              </w:rPr>
              <w:br/>
            </w:r>
            <w:r w:rsidRPr="00E73D4A">
              <w:rPr>
                <w:rFonts w:ascii="Arial" w:hAnsi="Arial" w:cs="Arial"/>
                <w:sz w:val="16"/>
                <w:szCs w:val="16"/>
              </w:rPr>
              <w:t>3-month data capture rate) is greater than or equal to 75 percent.</w:t>
            </w:r>
          </w:p>
        </w:tc>
        <w:tc>
          <w:tcPr>
            <w:tcW w:w="3465" w:type="dxa"/>
            <w:hideMark/>
          </w:tcPr>
          <w:p w14:paraId="2F8CC289" w14:textId="5D6CAC4A"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The design value is the maximum rolling</w:t>
            </w:r>
            <w:r w:rsidR="00D3152D">
              <w:rPr>
                <w:rFonts w:ascii="Arial" w:hAnsi="Arial" w:cs="Arial"/>
                <w:sz w:val="16"/>
                <w:szCs w:val="16"/>
              </w:rPr>
              <w:br/>
            </w:r>
            <w:r w:rsidRPr="00E73D4A">
              <w:rPr>
                <w:rFonts w:ascii="Arial" w:hAnsi="Arial" w:cs="Arial"/>
                <w:sz w:val="16"/>
                <w:szCs w:val="16"/>
              </w:rPr>
              <w:t>3-month lead-TSP average over a 3-year period.</w:t>
            </w:r>
          </w:p>
        </w:tc>
      </w:tr>
      <w:tr w:rsidR="00A60645" w:rsidRPr="00AC32D4" w14:paraId="2BF3B986" w14:textId="77777777" w:rsidTr="00D3152D">
        <w:trPr>
          <w:cantSplit/>
          <w:trHeight w:val="300"/>
        </w:trPr>
        <w:tc>
          <w:tcPr>
            <w:cnfStyle w:val="001000000000" w:firstRow="0" w:lastRow="0" w:firstColumn="1" w:lastColumn="0" w:oddVBand="0" w:evenVBand="0" w:oddHBand="0" w:evenHBand="0" w:firstRowFirstColumn="0" w:firstRowLastColumn="0" w:lastRowFirstColumn="0" w:lastRowLastColumn="0"/>
            <w:tcW w:w="1886" w:type="dxa"/>
            <w:hideMark/>
          </w:tcPr>
          <w:p w14:paraId="6769185D" w14:textId="070AD85B" w:rsidR="00AC32D4" w:rsidRPr="00FA2915" w:rsidRDefault="00AC32D4" w:rsidP="00E73D4A">
            <w:pPr>
              <w:spacing w:before="120" w:line="259" w:lineRule="auto"/>
              <w:textAlignment w:val="baseline"/>
              <w:rPr>
                <w:rFonts w:ascii="Arial" w:hAnsi="Arial" w:cs="Arial"/>
                <w:b w:val="0"/>
                <w:bCs w:val="0"/>
                <w:sz w:val="16"/>
                <w:szCs w:val="16"/>
              </w:rPr>
            </w:pPr>
            <w:r w:rsidRPr="00E73D4A">
              <w:rPr>
                <w:rFonts w:ascii="Arial" w:hAnsi="Arial" w:cs="Arial"/>
                <w:sz w:val="16"/>
                <w:szCs w:val="16"/>
              </w:rPr>
              <w:t>CO 8-hour</w:t>
            </w:r>
            <w:r w:rsidR="00FA2915">
              <w:rPr>
                <w:rFonts w:ascii="Arial" w:hAnsi="Arial" w:cs="Arial"/>
                <w:bCs w:val="0"/>
                <w:sz w:val="16"/>
                <w:szCs w:val="16"/>
              </w:rPr>
              <w:br/>
            </w:r>
            <w:hyperlink r:id="rId23" w:history="1">
              <w:r w:rsidR="00342B17" w:rsidRPr="00E73D4A">
                <w:rPr>
                  <w:rFonts w:ascii="Arial" w:hAnsi="Arial" w:cs="Arial"/>
                  <w:color w:val="0563C1"/>
                  <w:sz w:val="16"/>
                  <w:szCs w:val="16"/>
                  <w:u w:val="single"/>
                </w:rPr>
                <w:t>(40 CFR §50.8)</w:t>
              </w:r>
            </w:hyperlink>
          </w:p>
        </w:tc>
        <w:tc>
          <w:tcPr>
            <w:tcW w:w="965" w:type="dxa"/>
            <w:hideMark/>
          </w:tcPr>
          <w:p w14:paraId="45D885D2" w14:textId="76D55688" w:rsidR="00AC32D4" w:rsidRPr="00E73D4A" w:rsidRDefault="00AC32D4" w:rsidP="00FA5A37">
            <w:pPr>
              <w:pStyle w:val="Form-Bodytext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2</w:t>
            </w:r>
          </w:p>
        </w:tc>
        <w:tc>
          <w:tcPr>
            <w:tcW w:w="966" w:type="dxa"/>
            <w:hideMark/>
          </w:tcPr>
          <w:p w14:paraId="1E92A18F" w14:textId="71658B60" w:rsidR="00AC32D4" w:rsidRPr="00E73D4A" w:rsidRDefault="00AC32D4" w:rsidP="00FA5A37">
            <w:pPr>
              <w:pStyle w:val="Form-Bodytext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4</w:t>
            </w:r>
          </w:p>
        </w:tc>
        <w:tc>
          <w:tcPr>
            <w:tcW w:w="1149" w:type="dxa"/>
            <w:hideMark/>
          </w:tcPr>
          <w:p w14:paraId="7A4C9D5F"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9 ppm</w:t>
            </w:r>
          </w:p>
        </w:tc>
        <w:tc>
          <w:tcPr>
            <w:tcW w:w="1149" w:type="dxa"/>
            <w:hideMark/>
          </w:tcPr>
          <w:p w14:paraId="683E4F14"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7.2 ppm</w:t>
            </w:r>
          </w:p>
        </w:tc>
        <w:tc>
          <w:tcPr>
            <w:tcW w:w="3465" w:type="dxa"/>
            <w:hideMark/>
          </w:tcPr>
          <w:p w14:paraId="396C9EFD" w14:textId="58909AA4"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An 8-hour average shall be considered valid if at least 75 percent of the hourly average for the 8-hour period are available.</w:t>
            </w:r>
          </w:p>
        </w:tc>
        <w:tc>
          <w:tcPr>
            <w:tcW w:w="3465" w:type="dxa"/>
            <w:hideMark/>
          </w:tcPr>
          <w:p w14:paraId="171C18E5" w14:textId="1EDC3C3F"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The level of the 1971 8-hour NAAQS for carbon monoxide is 9 parts per million (ppm) not to be exceeded more than once per year. The design value is evaluated over a</w:t>
            </w:r>
            <w:r w:rsidR="008021A9">
              <w:rPr>
                <w:rFonts w:ascii="Arial" w:hAnsi="Arial" w:cs="Arial"/>
                <w:sz w:val="16"/>
                <w:szCs w:val="16"/>
              </w:rPr>
              <w:t xml:space="preserve"> 2</w:t>
            </w:r>
            <w:r w:rsidRPr="00E73D4A">
              <w:rPr>
                <w:rFonts w:ascii="Arial" w:hAnsi="Arial" w:cs="Arial"/>
                <w:sz w:val="16"/>
                <w:szCs w:val="16"/>
              </w:rPr>
              <w:t>-year period. Specifically, the design value is the higher of each year's annual second maximum, non-overlapping 8-hour average.</w:t>
            </w:r>
          </w:p>
        </w:tc>
      </w:tr>
      <w:tr w:rsidR="00A60645" w:rsidRPr="00AC32D4" w14:paraId="06BA0076" w14:textId="77777777" w:rsidTr="00D3152D">
        <w:trPr>
          <w:cantSplit/>
          <w:trHeight w:val="300"/>
        </w:trPr>
        <w:tc>
          <w:tcPr>
            <w:cnfStyle w:val="001000000000" w:firstRow="0" w:lastRow="0" w:firstColumn="1" w:lastColumn="0" w:oddVBand="0" w:evenVBand="0" w:oddHBand="0" w:evenHBand="0" w:firstRowFirstColumn="0" w:firstRowLastColumn="0" w:lastRowFirstColumn="0" w:lastRowLastColumn="0"/>
            <w:tcW w:w="1886" w:type="dxa"/>
          </w:tcPr>
          <w:p w14:paraId="4021033A" w14:textId="0F29FBA8" w:rsidR="00AC32D4" w:rsidRPr="00E73D4A" w:rsidRDefault="00AC32D4" w:rsidP="00E73D4A">
            <w:pPr>
              <w:spacing w:before="120" w:line="259" w:lineRule="auto"/>
              <w:textAlignment w:val="baseline"/>
              <w:rPr>
                <w:rFonts w:ascii="Arial" w:hAnsi="Arial" w:cs="Arial"/>
                <w:sz w:val="16"/>
                <w:szCs w:val="16"/>
              </w:rPr>
            </w:pPr>
            <w:r w:rsidRPr="00E73D4A">
              <w:rPr>
                <w:rFonts w:ascii="Arial" w:hAnsi="Arial" w:cs="Arial"/>
                <w:sz w:val="16"/>
                <w:szCs w:val="16"/>
              </w:rPr>
              <w:lastRenderedPageBreak/>
              <w:t>CO 1-hour</w:t>
            </w:r>
            <w:r w:rsidR="00FA2915">
              <w:rPr>
                <w:rFonts w:ascii="Arial" w:hAnsi="Arial" w:cs="Arial"/>
                <w:sz w:val="16"/>
                <w:szCs w:val="16"/>
              </w:rPr>
              <w:br/>
            </w:r>
            <w:hyperlink r:id="rId24" w:history="1">
              <w:r w:rsidR="00342B17" w:rsidRPr="00E73D4A">
                <w:rPr>
                  <w:rFonts w:ascii="Arial" w:hAnsi="Arial" w:cs="Arial"/>
                  <w:color w:val="0563C1"/>
                  <w:sz w:val="16"/>
                  <w:szCs w:val="16"/>
                  <w:u w:val="single"/>
                </w:rPr>
                <w:t>(40 CFR §50.8)</w:t>
              </w:r>
            </w:hyperlink>
          </w:p>
        </w:tc>
        <w:tc>
          <w:tcPr>
            <w:tcW w:w="965" w:type="dxa"/>
          </w:tcPr>
          <w:p w14:paraId="4D858EBA" w14:textId="77777777" w:rsidR="00AC32D4" w:rsidRPr="00E73D4A" w:rsidRDefault="00AC32D4" w:rsidP="00FA5A37">
            <w:pPr>
              <w:pStyle w:val="Form-Bodytext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2</w:t>
            </w:r>
          </w:p>
        </w:tc>
        <w:tc>
          <w:tcPr>
            <w:tcW w:w="966" w:type="dxa"/>
          </w:tcPr>
          <w:p w14:paraId="17C15A6D" w14:textId="77777777" w:rsidR="00AC32D4" w:rsidRPr="00E73D4A" w:rsidRDefault="00AC32D4" w:rsidP="00FA5A37">
            <w:pPr>
              <w:pStyle w:val="Form-Bodytext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4</w:t>
            </w:r>
          </w:p>
        </w:tc>
        <w:tc>
          <w:tcPr>
            <w:tcW w:w="1149" w:type="dxa"/>
          </w:tcPr>
          <w:p w14:paraId="6FB6CDCE"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35 ppm</w:t>
            </w:r>
          </w:p>
        </w:tc>
        <w:tc>
          <w:tcPr>
            <w:tcW w:w="1149" w:type="dxa"/>
          </w:tcPr>
          <w:p w14:paraId="5302393E"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28 ppm</w:t>
            </w:r>
          </w:p>
        </w:tc>
        <w:tc>
          <w:tcPr>
            <w:tcW w:w="3465" w:type="dxa"/>
          </w:tcPr>
          <w:p w14:paraId="175ADE76" w14:textId="79138EF9"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A year meets data completeness requirements when all 4 quarters are complete. A quarter is complete when at least 75 percent of the sampling days for each quarter have complete data. A sampling day has complete data if 75</w:t>
            </w:r>
            <w:r w:rsidR="00176826">
              <w:rPr>
                <w:rFonts w:ascii="Arial" w:hAnsi="Arial" w:cs="Arial"/>
                <w:sz w:val="16"/>
                <w:szCs w:val="16"/>
              </w:rPr>
              <w:t> </w:t>
            </w:r>
            <w:r w:rsidRPr="00E73D4A">
              <w:rPr>
                <w:rFonts w:ascii="Arial" w:hAnsi="Arial" w:cs="Arial"/>
                <w:sz w:val="16"/>
                <w:szCs w:val="16"/>
              </w:rPr>
              <w:t>percent of the hourly concentration values have complete data.</w:t>
            </w:r>
          </w:p>
        </w:tc>
        <w:tc>
          <w:tcPr>
            <w:tcW w:w="3465" w:type="dxa"/>
          </w:tcPr>
          <w:p w14:paraId="14150DAA" w14:textId="5272D46E"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 xml:space="preserve">The level of the 1971 1-hour NAAQS for carbon monoxide is 35 parts per million (ppm) not to be exceeded more than once per year. The design value is evaluated over a </w:t>
            </w:r>
            <w:r w:rsidR="008021A9">
              <w:rPr>
                <w:rFonts w:ascii="Arial" w:hAnsi="Arial" w:cs="Arial"/>
                <w:sz w:val="16"/>
                <w:szCs w:val="16"/>
              </w:rPr>
              <w:t>2</w:t>
            </w:r>
            <w:r w:rsidRPr="00E73D4A">
              <w:rPr>
                <w:rFonts w:ascii="Arial" w:hAnsi="Arial" w:cs="Arial"/>
                <w:sz w:val="16"/>
                <w:szCs w:val="16"/>
              </w:rPr>
              <w:t>-year period. Specifically, the design value is the higher of each year's annual second maximum, non-overlapping 1-hour average.</w:t>
            </w:r>
          </w:p>
        </w:tc>
      </w:tr>
      <w:tr w:rsidR="00A60645" w:rsidRPr="00AC32D4" w14:paraId="21155D67" w14:textId="77777777" w:rsidTr="00D3152D">
        <w:trPr>
          <w:cantSplit/>
          <w:trHeight w:val="300"/>
        </w:trPr>
        <w:tc>
          <w:tcPr>
            <w:cnfStyle w:val="001000000000" w:firstRow="0" w:lastRow="0" w:firstColumn="1" w:lastColumn="0" w:oddVBand="0" w:evenVBand="0" w:oddHBand="0" w:evenHBand="0" w:firstRowFirstColumn="0" w:firstRowLastColumn="0" w:lastRowFirstColumn="0" w:lastRowLastColumn="0"/>
            <w:tcW w:w="1886" w:type="dxa"/>
          </w:tcPr>
          <w:p w14:paraId="28B07035" w14:textId="45953B4D" w:rsidR="00AC32D4" w:rsidRPr="00E73D4A" w:rsidRDefault="00AC32D4" w:rsidP="00E73D4A">
            <w:pPr>
              <w:spacing w:before="120" w:line="259" w:lineRule="auto"/>
              <w:textAlignment w:val="baseline"/>
              <w:rPr>
                <w:rFonts w:ascii="Arial" w:hAnsi="Arial" w:cs="Arial"/>
                <w:sz w:val="16"/>
                <w:szCs w:val="16"/>
              </w:rPr>
            </w:pPr>
            <w:r w:rsidRPr="00E73D4A">
              <w:rPr>
                <w:rFonts w:ascii="Arial" w:hAnsi="Arial" w:cs="Arial"/>
                <w:sz w:val="16"/>
                <w:szCs w:val="16"/>
              </w:rPr>
              <w:t>8-hour Ozone</w:t>
            </w:r>
            <w:r w:rsidR="00FA2915">
              <w:rPr>
                <w:rFonts w:ascii="Arial" w:hAnsi="Arial" w:cs="Arial"/>
                <w:sz w:val="16"/>
                <w:szCs w:val="16"/>
              </w:rPr>
              <w:br/>
            </w:r>
            <w:hyperlink r:id="rId25" w:history="1">
              <w:r w:rsidR="00342B17" w:rsidRPr="00E73D4A">
                <w:rPr>
                  <w:rFonts w:ascii="Arial" w:hAnsi="Arial" w:cs="Arial"/>
                  <w:color w:val="0563C1"/>
                  <w:sz w:val="16"/>
                  <w:szCs w:val="16"/>
                  <w:u w:val="single"/>
                </w:rPr>
                <w:t>(40 CFR § 50.19)</w:t>
              </w:r>
            </w:hyperlink>
          </w:p>
        </w:tc>
        <w:tc>
          <w:tcPr>
            <w:tcW w:w="965" w:type="dxa"/>
          </w:tcPr>
          <w:p w14:paraId="13CD63B8" w14:textId="77777777" w:rsidR="00AC32D4" w:rsidRPr="00E73D4A" w:rsidRDefault="00AC32D4" w:rsidP="00FA5A37">
            <w:pPr>
              <w:pStyle w:val="Form-Bodytext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3</w:t>
            </w:r>
          </w:p>
        </w:tc>
        <w:tc>
          <w:tcPr>
            <w:tcW w:w="966" w:type="dxa"/>
          </w:tcPr>
          <w:p w14:paraId="497741BD" w14:textId="77777777" w:rsidR="00AC32D4" w:rsidRPr="00E73D4A" w:rsidRDefault="00AC32D4" w:rsidP="00FA5A37">
            <w:pPr>
              <w:pStyle w:val="Form-Bodytext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5</w:t>
            </w:r>
          </w:p>
        </w:tc>
        <w:tc>
          <w:tcPr>
            <w:tcW w:w="1149" w:type="dxa"/>
          </w:tcPr>
          <w:p w14:paraId="7F21DCD4"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0.070 ppm</w:t>
            </w:r>
          </w:p>
        </w:tc>
        <w:tc>
          <w:tcPr>
            <w:tcW w:w="1149" w:type="dxa"/>
          </w:tcPr>
          <w:p w14:paraId="5121A3CE"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0.056 ppm</w:t>
            </w:r>
          </w:p>
        </w:tc>
        <w:tc>
          <w:tcPr>
            <w:tcW w:w="3465" w:type="dxa"/>
          </w:tcPr>
          <w:p w14:paraId="1295FA2B"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Data completeness requirements are met for a 3-year period at a site if valid daily maximum 8-hour average O</w:t>
            </w:r>
            <w:r w:rsidRPr="00E73D4A">
              <w:rPr>
                <w:rFonts w:ascii="Arial" w:hAnsi="Arial" w:cs="Arial"/>
                <w:sz w:val="16"/>
                <w:szCs w:val="16"/>
                <w:vertAlign w:val="subscript"/>
              </w:rPr>
              <w:t>3</w:t>
            </w:r>
            <w:r w:rsidRPr="00E73D4A">
              <w:rPr>
                <w:rFonts w:ascii="Arial" w:hAnsi="Arial" w:cs="Arial"/>
                <w:sz w:val="16"/>
                <w:szCs w:val="16"/>
              </w:rPr>
              <w:t xml:space="preserve"> concentrations are available for at least 90% of the days within the O</w:t>
            </w:r>
            <w:r w:rsidRPr="00E73D4A">
              <w:rPr>
                <w:rFonts w:ascii="Arial" w:hAnsi="Arial" w:cs="Arial"/>
                <w:sz w:val="16"/>
                <w:szCs w:val="16"/>
                <w:vertAlign w:val="subscript"/>
              </w:rPr>
              <w:t>3</w:t>
            </w:r>
            <w:r w:rsidRPr="00E73D4A">
              <w:rPr>
                <w:rFonts w:ascii="Arial" w:hAnsi="Arial" w:cs="Arial"/>
                <w:sz w:val="16"/>
                <w:szCs w:val="16"/>
              </w:rPr>
              <w:t xml:space="preserve"> monitoring season, on average, for the 3-year period, with a minimum of at least 75% of the days within the O</w:t>
            </w:r>
            <w:r w:rsidRPr="00E73D4A">
              <w:rPr>
                <w:rFonts w:ascii="Arial" w:hAnsi="Arial" w:cs="Arial"/>
                <w:sz w:val="16"/>
                <w:szCs w:val="16"/>
                <w:vertAlign w:val="subscript"/>
              </w:rPr>
              <w:t>3</w:t>
            </w:r>
            <w:r w:rsidRPr="00E73D4A">
              <w:rPr>
                <w:rFonts w:ascii="Arial" w:hAnsi="Arial" w:cs="Arial"/>
                <w:sz w:val="16"/>
                <w:szCs w:val="16"/>
              </w:rPr>
              <w:t xml:space="preserve"> monitoring season in any one year.</w:t>
            </w:r>
          </w:p>
        </w:tc>
        <w:tc>
          <w:tcPr>
            <w:tcW w:w="3465" w:type="dxa"/>
          </w:tcPr>
          <w:p w14:paraId="1EAAFF6B" w14:textId="5A12BE50"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The primary and secondary O</w:t>
            </w:r>
            <w:r w:rsidRPr="00E73D4A">
              <w:rPr>
                <w:rFonts w:ascii="Arial" w:hAnsi="Arial" w:cs="Arial"/>
                <w:sz w:val="16"/>
                <w:szCs w:val="16"/>
                <w:vertAlign w:val="subscript"/>
              </w:rPr>
              <w:t>3</w:t>
            </w:r>
            <w:r w:rsidRPr="00E73D4A">
              <w:rPr>
                <w:rFonts w:ascii="Arial" w:hAnsi="Arial" w:cs="Arial"/>
                <w:sz w:val="16"/>
                <w:szCs w:val="16"/>
              </w:rPr>
              <w:t xml:space="preserve"> design value statistic is the annual fourth-highest daily maximum 8-hour O</w:t>
            </w:r>
            <w:r w:rsidRPr="00E73D4A">
              <w:rPr>
                <w:rFonts w:ascii="Arial" w:hAnsi="Arial" w:cs="Arial"/>
                <w:sz w:val="16"/>
                <w:szCs w:val="16"/>
                <w:vertAlign w:val="subscript"/>
              </w:rPr>
              <w:t>3</w:t>
            </w:r>
            <w:r w:rsidRPr="00E73D4A">
              <w:rPr>
                <w:rFonts w:ascii="Arial" w:hAnsi="Arial" w:cs="Arial"/>
                <w:sz w:val="16"/>
                <w:szCs w:val="16"/>
              </w:rPr>
              <w:t xml:space="preserve"> concentration, averaged over </w:t>
            </w:r>
            <w:r w:rsidR="009E7CC4">
              <w:rPr>
                <w:rFonts w:ascii="Arial" w:hAnsi="Arial" w:cs="Arial"/>
                <w:sz w:val="16"/>
                <w:szCs w:val="16"/>
              </w:rPr>
              <w:t>3</w:t>
            </w:r>
            <w:r w:rsidRPr="00E73D4A">
              <w:rPr>
                <w:rFonts w:ascii="Arial" w:hAnsi="Arial" w:cs="Arial"/>
                <w:sz w:val="16"/>
                <w:szCs w:val="16"/>
              </w:rPr>
              <w:t xml:space="preserve"> years, expressed in ppm.</w:t>
            </w:r>
          </w:p>
        </w:tc>
      </w:tr>
      <w:tr w:rsidR="00A60645" w:rsidRPr="00AC32D4" w14:paraId="38707CA7" w14:textId="77777777" w:rsidTr="00D3152D">
        <w:trPr>
          <w:cantSplit/>
          <w:trHeight w:val="300"/>
        </w:trPr>
        <w:tc>
          <w:tcPr>
            <w:cnfStyle w:val="001000000000" w:firstRow="0" w:lastRow="0" w:firstColumn="1" w:lastColumn="0" w:oddVBand="0" w:evenVBand="0" w:oddHBand="0" w:evenHBand="0" w:firstRowFirstColumn="0" w:firstRowLastColumn="0" w:lastRowFirstColumn="0" w:lastRowLastColumn="0"/>
            <w:tcW w:w="1886" w:type="dxa"/>
            <w:hideMark/>
          </w:tcPr>
          <w:p w14:paraId="4BACEE5E" w14:textId="6315C285" w:rsidR="00AC32D4" w:rsidRPr="00E73D4A" w:rsidRDefault="00AC32D4" w:rsidP="00E73D4A">
            <w:pPr>
              <w:spacing w:before="120" w:line="259" w:lineRule="auto"/>
              <w:textAlignment w:val="baseline"/>
              <w:rPr>
                <w:rFonts w:ascii="Arial" w:hAnsi="Arial" w:cs="Arial"/>
                <w:sz w:val="16"/>
                <w:szCs w:val="16"/>
              </w:rPr>
            </w:pPr>
            <w:r w:rsidRPr="00E73D4A">
              <w:rPr>
                <w:rFonts w:ascii="Arial" w:hAnsi="Arial" w:cs="Arial"/>
                <w:sz w:val="16"/>
                <w:szCs w:val="16"/>
              </w:rPr>
              <w:t>SO</w:t>
            </w:r>
            <w:r w:rsidRPr="00E73D4A">
              <w:rPr>
                <w:rFonts w:ascii="Arial" w:hAnsi="Arial" w:cs="Arial"/>
                <w:sz w:val="16"/>
                <w:szCs w:val="16"/>
                <w:vertAlign w:val="subscript"/>
              </w:rPr>
              <w:t>2</w:t>
            </w:r>
            <w:r w:rsidRPr="00E73D4A">
              <w:rPr>
                <w:rFonts w:ascii="Arial" w:hAnsi="Arial" w:cs="Arial"/>
                <w:sz w:val="16"/>
                <w:szCs w:val="16"/>
              </w:rPr>
              <w:t xml:space="preserve"> 1-hour</w:t>
            </w:r>
            <w:r w:rsidR="00FA2915">
              <w:rPr>
                <w:rFonts w:ascii="Arial" w:hAnsi="Arial" w:cs="Arial"/>
                <w:sz w:val="16"/>
                <w:szCs w:val="16"/>
              </w:rPr>
              <w:br/>
            </w:r>
            <w:hyperlink r:id="rId26">
              <w:r w:rsidR="00342B17" w:rsidRPr="00E73D4A">
                <w:rPr>
                  <w:rFonts w:ascii="Arial" w:hAnsi="Arial" w:cs="Arial"/>
                  <w:color w:val="0563C1"/>
                  <w:sz w:val="16"/>
                  <w:szCs w:val="16"/>
                  <w:u w:val="single"/>
                </w:rPr>
                <w:t>(40 CFR § 50.17)</w:t>
              </w:r>
            </w:hyperlink>
          </w:p>
        </w:tc>
        <w:tc>
          <w:tcPr>
            <w:tcW w:w="965" w:type="dxa"/>
            <w:hideMark/>
          </w:tcPr>
          <w:p w14:paraId="44415D98" w14:textId="77777777" w:rsidR="00AC32D4" w:rsidRPr="00E73D4A" w:rsidRDefault="00AC32D4" w:rsidP="00FA5A37">
            <w:pPr>
              <w:pStyle w:val="Form-Bodytext1"/>
              <w:jc w:val="center"/>
              <w:cnfStyle w:val="000000000000" w:firstRow="0" w:lastRow="0" w:firstColumn="0" w:lastColumn="0" w:oddVBand="0" w:evenVBand="0" w:oddHBand="0" w:evenHBand="0" w:firstRowFirstColumn="0" w:firstRowLastColumn="0" w:lastRowFirstColumn="0" w:lastRowLastColumn="0"/>
              <w:rPr>
                <w:rFonts w:ascii="Arial" w:hAnsi="Arial" w:cs="Arial"/>
                <w:strike/>
                <w:sz w:val="16"/>
                <w:szCs w:val="16"/>
              </w:rPr>
            </w:pPr>
            <w:r w:rsidRPr="00E73D4A">
              <w:rPr>
                <w:rFonts w:ascii="Arial" w:hAnsi="Arial" w:cs="Arial"/>
                <w:sz w:val="16"/>
                <w:szCs w:val="16"/>
              </w:rPr>
              <w:t>3</w:t>
            </w:r>
          </w:p>
        </w:tc>
        <w:tc>
          <w:tcPr>
            <w:tcW w:w="966" w:type="dxa"/>
            <w:hideMark/>
          </w:tcPr>
          <w:p w14:paraId="1AB07B12" w14:textId="5FA0D856" w:rsidR="00AC32D4" w:rsidRPr="00E73D4A" w:rsidRDefault="00AC32D4" w:rsidP="00FA5A37">
            <w:pPr>
              <w:pStyle w:val="Form-Bodytext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5</w:t>
            </w:r>
          </w:p>
        </w:tc>
        <w:tc>
          <w:tcPr>
            <w:tcW w:w="1149" w:type="dxa"/>
            <w:hideMark/>
          </w:tcPr>
          <w:p w14:paraId="7F6E15C3"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75 ppb</w:t>
            </w:r>
          </w:p>
        </w:tc>
        <w:tc>
          <w:tcPr>
            <w:tcW w:w="1149" w:type="dxa"/>
            <w:hideMark/>
          </w:tcPr>
          <w:p w14:paraId="3D45CAD5"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60 ppb</w:t>
            </w:r>
          </w:p>
        </w:tc>
        <w:tc>
          <w:tcPr>
            <w:tcW w:w="3465" w:type="dxa"/>
            <w:hideMark/>
          </w:tcPr>
          <w:p w14:paraId="398323EC" w14:textId="68BDAE45"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A year meets data completeness requirements when all 4 quarters are complete. A quarter is complete when at least 75</w:t>
            </w:r>
            <w:r w:rsidR="00176826">
              <w:rPr>
                <w:rFonts w:ascii="Arial" w:hAnsi="Arial" w:cs="Arial"/>
                <w:sz w:val="16"/>
                <w:szCs w:val="16"/>
              </w:rPr>
              <w:t> </w:t>
            </w:r>
            <w:r w:rsidRPr="00E73D4A">
              <w:rPr>
                <w:rFonts w:ascii="Arial" w:hAnsi="Arial" w:cs="Arial"/>
                <w:sz w:val="16"/>
                <w:szCs w:val="16"/>
              </w:rPr>
              <w:t>percent of the sampling days for each quarter have complete data. A sampling day has complete data if 75</w:t>
            </w:r>
            <w:r w:rsidR="00176826">
              <w:rPr>
                <w:rFonts w:ascii="Arial" w:hAnsi="Arial" w:cs="Arial"/>
                <w:sz w:val="16"/>
                <w:szCs w:val="16"/>
              </w:rPr>
              <w:t> </w:t>
            </w:r>
            <w:r w:rsidRPr="00E73D4A">
              <w:rPr>
                <w:rFonts w:ascii="Arial" w:hAnsi="Arial" w:cs="Arial"/>
                <w:sz w:val="16"/>
                <w:szCs w:val="16"/>
              </w:rPr>
              <w:t>percent of the hourly concentration values have complete data.</w:t>
            </w:r>
          </w:p>
        </w:tc>
        <w:tc>
          <w:tcPr>
            <w:tcW w:w="3465" w:type="dxa"/>
            <w:hideMark/>
          </w:tcPr>
          <w:p w14:paraId="7705E6B4" w14:textId="2A61C8B6"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The level of the 1-hour NAAQS for sulfur dioxide is 75 ppb. The design value is the annual 99</w:t>
            </w:r>
            <w:r w:rsidRPr="00E73D4A">
              <w:rPr>
                <w:rFonts w:ascii="Arial" w:hAnsi="Arial" w:cs="Arial"/>
                <w:sz w:val="16"/>
                <w:szCs w:val="16"/>
                <w:vertAlign w:val="superscript"/>
              </w:rPr>
              <w:t>th</w:t>
            </w:r>
            <w:r w:rsidRPr="00E73D4A">
              <w:rPr>
                <w:rFonts w:ascii="Arial" w:hAnsi="Arial" w:cs="Arial"/>
                <w:sz w:val="16"/>
                <w:szCs w:val="16"/>
              </w:rPr>
              <w:t xml:space="preserve"> percentile of the daily maximum 1-hour concentration values, averaged over </w:t>
            </w:r>
            <w:r w:rsidR="002C65D0">
              <w:rPr>
                <w:rFonts w:ascii="Arial" w:hAnsi="Arial" w:cs="Arial"/>
                <w:sz w:val="16"/>
                <w:szCs w:val="16"/>
              </w:rPr>
              <w:t>3 </w:t>
            </w:r>
            <w:r w:rsidRPr="00E73D4A">
              <w:rPr>
                <w:rFonts w:ascii="Arial" w:hAnsi="Arial" w:cs="Arial"/>
                <w:sz w:val="16"/>
                <w:szCs w:val="16"/>
              </w:rPr>
              <w:t>consecutive years.</w:t>
            </w:r>
          </w:p>
        </w:tc>
      </w:tr>
      <w:tr w:rsidR="00A60645" w:rsidRPr="00AC32D4" w14:paraId="57C5C0D3" w14:textId="77777777" w:rsidTr="00D3152D">
        <w:trPr>
          <w:cantSplit/>
          <w:trHeight w:val="300"/>
        </w:trPr>
        <w:tc>
          <w:tcPr>
            <w:cnfStyle w:val="001000000000" w:firstRow="0" w:lastRow="0" w:firstColumn="1" w:lastColumn="0" w:oddVBand="0" w:evenVBand="0" w:oddHBand="0" w:evenHBand="0" w:firstRowFirstColumn="0" w:firstRowLastColumn="0" w:lastRowFirstColumn="0" w:lastRowLastColumn="0"/>
            <w:tcW w:w="1886" w:type="dxa"/>
            <w:hideMark/>
          </w:tcPr>
          <w:p w14:paraId="4E6AF6D9" w14:textId="71BDBEE0" w:rsidR="00AC32D4" w:rsidRPr="00E73D4A" w:rsidRDefault="00AC32D4" w:rsidP="00E73D4A">
            <w:pPr>
              <w:spacing w:before="120" w:line="259" w:lineRule="auto"/>
              <w:textAlignment w:val="baseline"/>
              <w:rPr>
                <w:rFonts w:ascii="Arial" w:hAnsi="Arial" w:cs="Arial"/>
                <w:sz w:val="16"/>
                <w:szCs w:val="16"/>
              </w:rPr>
            </w:pPr>
            <w:r w:rsidRPr="00E73D4A">
              <w:rPr>
                <w:rFonts w:ascii="Arial" w:hAnsi="Arial" w:cs="Arial"/>
                <w:sz w:val="16"/>
                <w:szCs w:val="16"/>
              </w:rPr>
              <w:t>SO</w:t>
            </w:r>
            <w:r w:rsidRPr="00E73D4A">
              <w:rPr>
                <w:rFonts w:ascii="Arial" w:hAnsi="Arial" w:cs="Arial"/>
                <w:sz w:val="16"/>
                <w:szCs w:val="16"/>
                <w:vertAlign w:val="subscript"/>
              </w:rPr>
              <w:t>2</w:t>
            </w:r>
            <w:r w:rsidRPr="00E73D4A">
              <w:rPr>
                <w:rFonts w:ascii="Arial" w:hAnsi="Arial" w:cs="Arial"/>
                <w:sz w:val="16"/>
                <w:szCs w:val="16"/>
              </w:rPr>
              <w:t xml:space="preserve"> 3-hours</w:t>
            </w:r>
            <w:r w:rsidR="00FA2915">
              <w:rPr>
                <w:rFonts w:ascii="Arial" w:hAnsi="Arial" w:cs="Arial"/>
                <w:sz w:val="16"/>
                <w:szCs w:val="16"/>
              </w:rPr>
              <w:br/>
            </w:r>
            <w:hyperlink r:id="rId27">
              <w:r w:rsidR="00342B17" w:rsidRPr="00E73D4A">
                <w:rPr>
                  <w:rFonts w:ascii="Arial" w:hAnsi="Arial" w:cs="Arial"/>
                  <w:color w:val="0563C1"/>
                  <w:sz w:val="16"/>
                  <w:szCs w:val="16"/>
                  <w:u w:val="single"/>
                </w:rPr>
                <w:t>(40 CFR § 50.17)</w:t>
              </w:r>
            </w:hyperlink>
          </w:p>
        </w:tc>
        <w:tc>
          <w:tcPr>
            <w:tcW w:w="965" w:type="dxa"/>
            <w:hideMark/>
          </w:tcPr>
          <w:p w14:paraId="788CB70C" w14:textId="38983BD3" w:rsidR="00AC32D4" w:rsidRPr="00E73D4A" w:rsidRDefault="00AC32D4" w:rsidP="00FA5A37">
            <w:pPr>
              <w:pStyle w:val="Form-Bodytext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1</w:t>
            </w:r>
          </w:p>
        </w:tc>
        <w:tc>
          <w:tcPr>
            <w:tcW w:w="966" w:type="dxa"/>
            <w:hideMark/>
          </w:tcPr>
          <w:p w14:paraId="49574DDB" w14:textId="433BECA9" w:rsidR="00AC32D4" w:rsidRPr="00E73D4A" w:rsidRDefault="00AC32D4" w:rsidP="00FA5A37">
            <w:pPr>
              <w:pStyle w:val="Form-Bodytext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3</w:t>
            </w:r>
          </w:p>
        </w:tc>
        <w:tc>
          <w:tcPr>
            <w:tcW w:w="1149" w:type="dxa"/>
            <w:hideMark/>
          </w:tcPr>
          <w:p w14:paraId="3552A632"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0.5 ppm</w:t>
            </w:r>
          </w:p>
        </w:tc>
        <w:tc>
          <w:tcPr>
            <w:tcW w:w="1149" w:type="dxa"/>
            <w:hideMark/>
          </w:tcPr>
          <w:p w14:paraId="3EBEABA0"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0.4 ppm</w:t>
            </w:r>
          </w:p>
        </w:tc>
        <w:tc>
          <w:tcPr>
            <w:tcW w:w="3465" w:type="dxa"/>
            <w:hideMark/>
          </w:tcPr>
          <w:p w14:paraId="33CADC56" w14:textId="318B277F"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To demonstrate attainment, the second-highest 3-hour average must be based upon hourly data that are at least 75</w:t>
            </w:r>
            <w:r w:rsidR="00176826">
              <w:rPr>
                <w:rFonts w:ascii="Arial" w:hAnsi="Arial" w:cs="Arial"/>
                <w:sz w:val="16"/>
                <w:szCs w:val="16"/>
              </w:rPr>
              <w:t> </w:t>
            </w:r>
            <w:r w:rsidRPr="00E73D4A">
              <w:rPr>
                <w:rFonts w:ascii="Arial" w:hAnsi="Arial" w:cs="Arial"/>
                <w:sz w:val="16"/>
                <w:szCs w:val="16"/>
              </w:rPr>
              <w:t xml:space="preserve">percent complete in each calendar quarter. A 3-hour block average shall be considered valid only if all </w:t>
            </w:r>
            <w:r w:rsidR="009E7CC4">
              <w:rPr>
                <w:rFonts w:ascii="Arial" w:hAnsi="Arial" w:cs="Arial"/>
                <w:sz w:val="16"/>
                <w:szCs w:val="16"/>
              </w:rPr>
              <w:t>3-</w:t>
            </w:r>
            <w:r w:rsidRPr="00E73D4A">
              <w:rPr>
                <w:rFonts w:ascii="Arial" w:hAnsi="Arial" w:cs="Arial"/>
                <w:sz w:val="16"/>
                <w:szCs w:val="16"/>
              </w:rPr>
              <w:t>hourly averages for the 3-hour period are available.</w:t>
            </w:r>
          </w:p>
        </w:tc>
        <w:tc>
          <w:tcPr>
            <w:tcW w:w="3465" w:type="dxa"/>
            <w:hideMark/>
          </w:tcPr>
          <w:p w14:paraId="0873A676"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The level of the 3-hour standard is 0.5 parts per million (ppm), not to be exceeded more than once per calendar year.</w:t>
            </w:r>
          </w:p>
        </w:tc>
      </w:tr>
      <w:tr w:rsidR="00A60645" w:rsidRPr="00AC32D4" w14:paraId="31233B13" w14:textId="77777777" w:rsidTr="00D3152D">
        <w:trPr>
          <w:cantSplit/>
          <w:trHeight w:val="440"/>
        </w:trPr>
        <w:tc>
          <w:tcPr>
            <w:cnfStyle w:val="001000000000" w:firstRow="0" w:lastRow="0" w:firstColumn="1" w:lastColumn="0" w:oddVBand="0" w:evenVBand="0" w:oddHBand="0" w:evenHBand="0" w:firstRowFirstColumn="0" w:firstRowLastColumn="0" w:lastRowFirstColumn="0" w:lastRowLastColumn="0"/>
            <w:tcW w:w="1886" w:type="dxa"/>
            <w:hideMark/>
          </w:tcPr>
          <w:p w14:paraId="58835530" w14:textId="01B33F16" w:rsidR="00AC32D4" w:rsidRPr="00E73D4A" w:rsidRDefault="00AC32D4" w:rsidP="00D3152D">
            <w:pPr>
              <w:spacing w:before="120" w:after="20" w:line="259" w:lineRule="auto"/>
              <w:textAlignment w:val="baseline"/>
              <w:rPr>
                <w:rFonts w:ascii="Arial" w:hAnsi="Arial" w:cs="Arial"/>
                <w:sz w:val="16"/>
                <w:szCs w:val="16"/>
              </w:rPr>
            </w:pPr>
            <w:r w:rsidRPr="00E73D4A">
              <w:rPr>
                <w:rFonts w:ascii="Arial" w:hAnsi="Arial" w:cs="Arial"/>
                <w:sz w:val="16"/>
                <w:szCs w:val="16"/>
              </w:rPr>
              <w:t>SO</w:t>
            </w:r>
            <w:r w:rsidRPr="00E73D4A">
              <w:rPr>
                <w:rFonts w:ascii="Arial" w:hAnsi="Arial" w:cs="Arial"/>
                <w:sz w:val="16"/>
                <w:szCs w:val="16"/>
                <w:vertAlign w:val="subscript"/>
              </w:rPr>
              <w:t>2</w:t>
            </w:r>
            <w:r w:rsidRPr="00E73D4A">
              <w:rPr>
                <w:rFonts w:ascii="Arial" w:hAnsi="Arial" w:cs="Arial"/>
                <w:sz w:val="16"/>
                <w:szCs w:val="16"/>
              </w:rPr>
              <w:t xml:space="preserve"> annual average </w:t>
            </w:r>
            <w:hyperlink r:id="rId28" w:history="1">
              <w:r w:rsidR="00342B17" w:rsidRPr="00E73D4A">
                <w:rPr>
                  <w:rFonts w:ascii="Arial" w:hAnsi="Arial" w:cs="Arial"/>
                  <w:color w:val="0563C1"/>
                  <w:sz w:val="16"/>
                  <w:szCs w:val="16"/>
                  <w:u w:val="single"/>
                </w:rPr>
                <w:t>(Minn. R. 7009.0080)</w:t>
              </w:r>
            </w:hyperlink>
          </w:p>
        </w:tc>
        <w:tc>
          <w:tcPr>
            <w:tcW w:w="965" w:type="dxa"/>
            <w:hideMark/>
          </w:tcPr>
          <w:p w14:paraId="4167F9EA" w14:textId="77777777" w:rsidR="00AC32D4" w:rsidRPr="00E73D4A" w:rsidRDefault="00AC32D4" w:rsidP="00FA5A37">
            <w:pPr>
              <w:pStyle w:val="Form-Bodytext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1</w:t>
            </w:r>
          </w:p>
        </w:tc>
        <w:tc>
          <w:tcPr>
            <w:tcW w:w="966" w:type="dxa"/>
            <w:hideMark/>
          </w:tcPr>
          <w:p w14:paraId="4CEB59ED" w14:textId="77777777" w:rsidR="00AC32D4" w:rsidRPr="00E73D4A" w:rsidRDefault="00AC32D4" w:rsidP="00FA5A37">
            <w:pPr>
              <w:pStyle w:val="Form-Bodytext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3</w:t>
            </w:r>
          </w:p>
        </w:tc>
        <w:tc>
          <w:tcPr>
            <w:tcW w:w="1149" w:type="dxa"/>
            <w:hideMark/>
          </w:tcPr>
          <w:p w14:paraId="7BE5C3B8"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30 ppbv</w:t>
            </w:r>
          </w:p>
        </w:tc>
        <w:tc>
          <w:tcPr>
            <w:tcW w:w="1149" w:type="dxa"/>
            <w:hideMark/>
          </w:tcPr>
          <w:p w14:paraId="389255E4"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24 ppbv</w:t>
            </w:r>
          </w:p>
        </w:tc>
        <w:tc>
          <w:tcPr>
            <w:tcW w:w="3465" w:type="dxa"/>
            <w:hideMark/>
          </w:tcPr>
          <w:p w14:paraId="60F5E2F8" w14:textId="743545AC"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As specified in monitoring plan.</w:t>
            </w:r>
          </w:p>
        </w:tc>
        <w:tc>
          <w:tcPr>
            <w:tcW w:w="3465" w:type="dxa"/>
            <w:hideMark/>
          </w:tcPr>
          <w:p w14:paraId="54112773" w14:textId="423ADC9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Annual average concentration does not exceed standard</w:t>
            </w:r>
            <w:r w:rsidR="00176826">
              <w:rPr>
                <w:rFonts w:ascii="Arial" w:hAnsi="Arial" w:cs="Arial"/>
                <w:sz w:val="16"/>
                <w:szCs w:val="16"/>
              </w:rPr>
              <w:t>.</w:t>
            </w:r>
          </w:p>
        </w:tc>
      </w:tr>
      <w:tr w:rsidR="00A60645" w:rsidRPr="00AC32D4" w14:paraId="21CF4AC2" w14:textId="77777777" w:rsidTr="00D3152D">
        <w:trPr>
          <w:cantSplit/>
          <w:trHeight w:val="170"/>
        </w:trPr>
        <w:tc>
          <w:tcPr>
            <w:cnfStyle w:val="001000000000" w:firstRow="0" w:lastRow="0" w:firstColumn="1" w:lastColumn="0" w:oddVBand="0" w:evenVBand="0" w:oddHBand="0" w:evenHBand="0" w:firstRowFirstColumn="0" w:firstRowLastColumn="0" w:lastRowFirstColumn="0" w:lastRowLastColumn="0"/>
            <w:tcW w:w="1886" w:type="dxa"/>
            <w:hideMark/>
          </w:tcPr>
          <w:p w14:paraId="2F9E08A4" w14:textId="09D6BA50" w:rsidR="00AC32D4" w:rsidRPr="00E73D4A" w:rsidRDefault="00AC32D4" w:rsidP="00D3152D">
            <w:pPr>
              <w:spacing w:before="120" w:after="20" w:line="259" w:lineRule="auto"/>
              <w:textAlignment w:val="baseline"/>
              <w:rPr>
                <w:rFonts w:ascii="Arial" w:hAnsi="Arial" w:cs="Arial"/>
                <w:sz w:val="16"/>
                <w:szCs w:val="16"/>
              </w:rPr>
            </w:pPr>
            <w:r w:rsidRPr="00E73D4A">
              <w:rPr>
                <w:rFonts w:ascii="Arial" w:hAnsi="Arial" w:cs="Arial"/>
                <w:sz w:val="16"/>
                <w:szCs w:val="16"/>
              </w:rPr>
              <w:t>SO</w:t>
            </w:r>
            <w:r w:rsidRPr="00E73D4A">
              <w:rPr>
                <w:rFonts w:ascii="Arial" w:hAnsi="Arial" w:cs="Arial"/>
                <w:sz w:val="16"/>
                <w:szCs w:val="16"/>
                <w:vertAlign w:val="subscript"/>
              </w:rPr>
              <w:t>2</w:t>
            </w:r>
            <w:r w:rsidRPr="00E73D4A">
              <w:rPr>
                <w:rFonts w:ascii="Arial" w:hAnsi="Arial" w:cs="Arial"/>
                <w:sz w:val="16"/>
                <w:szCs w:val="16"/>
              </w:rPr>
              <w:t xml:space="preserve"> 24-hour</w:t>
            </w:r>
            <w:r w:rsidR="00FA2915">
              <w:rPr>
                <w:rFonts w:ascii="Arial" w:hAnsi="Arial" w:cs="Arial"/>
                <w:sz w:val="16"/>
                <w:szCs w:val="16"/>
              </w:rPr>
              <w:br/>
            </w:r>
            <w:hyperlink r:id="rId29" w:history="1">
              <w:r w:rsidR="00342B17" w:rsidRPr="00E73D4A">
                <w:rPr>
                  <w:rFonts w:ascii="Arial" w:hAnsi="Arial" w:cs="Arial"/>
                  <w:color w:val="0563C1"/>
                  <w:sz w:val="16"/>
                  <w:szCs w:val="16"/>
                  <w:u w:val="single"/>
                </w:rPr>
                <w:t>(Minn. R. 7009.0080)</w:t>
              </w:r>
            </w:hyperlink>
          </w:p>
        </w:tc>
        <w:tc>
          <w:tcPr>
            <w:tcW w:w="965" w:type="dxa"/>
            <w:hideMark/>
          </w:tcPr>
          <w:p w14:paraId="5CBE5305" w14:textId="77777777" w:rsidR="00AC32D4" w:rsidRPr="00E73D4A" w:rsidRDefault="00AC32D4" w:rsidP="00FA5A37">
            <w:pPr>
              <w:pStyle w:val="Form-Bodytext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1</w:t>
            </w:r>
          </w:p>
        </w:tc>
        <w:tc>
          <w:tcPr>
            <w:tcW w:w="966" w:type="dxa"/>
            <w:hideMark/>
          </w:tcPr>
          <w:p w14:paraId="0C83BFAF" w14:textId="77777777" w:rsidR="00AC32D4" w:rsidRPr="00E73D4A" w:rsidRDefault="00AC32D4" w:rsidP="00FA5A37">
            <w:pPr>
              <w:pStyle w:val="Form-Bodytext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3</w:t>
            </w:r>
          </w:p>
        </w:tc>
        <w:tc>
          <w:tcPr>
            <w:tcW w:w="1149" w:type="dxa"/>
            <w:hideMark/>
          </w:tcPr>
          <w:p w14:paraId="355D6063"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140 ppb</w:t>
            </w:r>
          </w:p>
        </w:tc>
        <w:tc>
          <w:tcPr>
            <w:tcW w:w="1149" w:type="dxa"/>
            <w:hideMark/>
          </w:tcPr>
          <w:p w14:paraId="5A477833"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112 ppb</w:t>
            </w:r>
          </w:p>
        </w:tc>
        <w:tc>
          <w:tcPr>
            <w:tcW w:w="3465" w:type="dxa"/>
            <w:hideMark/>
          </w:tcPr>
          <w:p w14:paraId="02DB2C40" w14:textId="3ABEBBE4"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As specified in monitoring plan.</w:t>
            </w:r>
          </w:p>
        </w:tc>
        <w:tc>
          <w:tcPr>
            <w:tcW w:w="3465" w:type="dxa"/>
            <w:hideMark/>
          </w:tcPr>
          <w:p w14:paraId="2D3D400F"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Annual second-high 24-hour concentration does not exceed standard.</w:t>
            </w:r>
          </w:p>
        </w:tc>
      </w:tr>
      <w:tr w:rsidR="00A60645" w:rsidRPr="00AC32D4" w14:paraId="398C4DD1" w14:textId="77777777" w:rsidTr="00D3152D">
        <w:trPr>
          <w:cantSplit/>
          <w:trHeight w:val="300"/>
        </w:trPr>
        <w:tc>
          <w:tcPr>
            <w:cnfStyle w:val="001000000000" w:firstRow="0" w:lastRow="0" w:firstColumn="1" w:lastColumn="0" w:oddVBand="0" w:evenVBand="0" w:oddHBand="0" w:evenHBand="0" w:firstRowFirstColumn="0" w:firstRowLastColumn="0" w:lastRowFirstColumn="0" w:lastRowLastColumn="0"/>
            <w:tcW w:w="1886" w:type="dxa"/>
            <w:hideMark/>
          </w:tcPr>
          <w:p w14:paraId="2873ADA6" w14:textId="237421B2" w:rsidR="00AC32D4" w:rsidRPr="00E73D4A" w:rsidRDefault="00AC32D4" w:rsidP="00E73D4A">
            <w:pPr>
              <w:spacing w:before="120" w:line="259" w:lineRule="auto"/>
              <w:textAlignment w:val="baseline"/>
              <w:rPr>
                <w:rFonts w:ascii="Arial" w:hAnsi="Arial" w:cs="Arial"/>
                <w:sz w:val="16"/>
                <w:szCs w:val="16"/>
              </w:rPr>
            </w:pPr>
            <w:r w:rsidRPr="00E73D4A">
              <w:rPr>
                <w:rFonts w:ascii="Arial" w:hAnsi="Arial" w:cs="Arial"/>
                <w:sz w:val="16"/>
                <w:szCs w:val="16"/>
              </w:rPr>
              <w:t>NO</w:t>
            </w:r>
            <w:r w:rsidRPr="00E73D4A">
              <w:rPr>
                <w:rFonts w:ascii="Arial" w:hAnsi="Arial" w:cs="Arial"/>
                <w:sz w:val="16"/>
                <w:szCs w:val="16"/>
                <w:vertAlign w:val="subscript"/>
              </w:rPr>
              <w:t>2</w:t>
            </w:r>
            <w:r w:rsidRPr="00E73D4A">
              <w:rPr>
                <w:rFonts w:ascii="Arial" w:hAnsi="Arial" w:cs="Arial"/>
                <w:sz w:val="16"/>
                <w:szCs w:val="16"/>
              </w:rPr>
              <w:t xml:space="preserve"> 1-year</w:t>
            </w:r>
            <w:r w:rsidR="00FA2915">
              <w:rPr>
                <w:rFonts w:ascii="Arial" w:hAnsi="Arial" w:cs="Arial"/>
                <w:sz w:val="16"/>
                <w:szCs w:val="16"/>
              </w:rPr>
              <w:br/>
            </w:r>
            <w:hyperlink r:id="rId30" w:history="1">
              <w:r w:rsidR="00342B17" w:rsidRPr="00E73D4A">
                <w:rPr>
                  <w:rFonts w:ascii="Arial" w:hAnsi="Arial" w:cs="Arial"/>
                  <w:color w:val="0563C1"/>
                  <w:sz w:val="16"/>
                  <w:szCs w:val="16"/>
                  <w:u w:val="single"/>
                </w:rPr>
                <w:t>(40 CFR § 50.11)</w:t>
              </w:r>
            </w:hyperlink>
          </w:p>
        </w:tc>
        <w:tc>
          <w:tcPr>
            <w:tcW w:w="965" w:type="dxa"/>
            <w:hideMark/>
          </w:tcPr>
          <w:p w14:paraId="78D9837B" w14:textId="6CF2F585" w:rsidR="00AC32D4" w:rsidRPr="00E73D4A" w:rsidRDefault="00AC32D4" w:rsidP="00FA5A37">
            <w:pPr>
              <w:pStyle w:val="Form-Bodytext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1</w:t>
            </w:r>
          </w:p>
        </w:tc>
        <w:tc>
          <w:tcPr>
            <w:tcW w:w="966" w:type="dxa"/>
            <w:hideMark/>
          </w:tcPr>
          <w:p w14:paraId="4B95FF24" w14:textId="77777777" w:rsidR="00AC32D4" w:rsidRPr="00E73D4A" w:rsidRDefault="00AC32D4" w:rsidP="00FA5A37">
            <w:pPr>
              <w:pStyle w:val="Form-Bodytext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3</w:t>
            </w:r>
          </w:p>
        </w:tc>
        <w:tc>
          <w:tcPr>
            <w:tcW w:w="1149" w:type="dxa"/>
            <w:hideMark/>
          </w:tcPr>
          <w:p w14:paraId="5469F2DA"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53 ppb</w:t>
            </w:r>
          </w:p>
        </w:tc>
        <w:tc>
          <w:tcPr>
            <w:tcW w:w="1149" w:type="dxa"/>
            <w:hideMark/>
          </w:tcPr>
          <w:p w14:paraId="7F9668D0"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42.4 ppb</w:t>
            </w:r>
          </w:p>
        </w:tc>
        <w:tc>
          <w:tcPr>
            <w:tcW w:w="3465" w:type="dxa"/>
            <w:hideMark/>
          </w:tcPr>
          <w:p w14:paraId="483FE8AD" w14:textId="672D60A0"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An annual primary standard design value is valid when at least 75 percent of the hours in the year are reported.</w:t>
            </w:r>
          </w:p>
        </w:tc>
        <w:tc>
          <w:tcPr>
            <w:tcW w:w="3465" w:type="dxa"/>
            <w:hideMark/>
          </w:tcPr>
          <w:p w14:paraId="56CE0B17"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Annual average concentration in a calendar year is less than or equal to 53 ppb.</w:t>
            </w:r>
          </w:p>
        </w:tc>
      </w:tr>
      <w:tr w:rsidR="00A60645" w:rsidRPr="00AC32D4" w14:paraId="05CDA9CC" w14:textId="77777777" w:rsidTr="00D3152D">
        <w:trPr>
          <w:cantSplit/>
          <w:trHeight w:val="300"/>
        </w:trPr>
        <w:tc>
          <w:tcPr>
            <w:cnfStyle w:val="001000000000" w:firstRow="0" w:lastRow="0" w:firstColumn="1" w:lastColumn="0" w:oddVBand="0" w:evenVBand="0" w:oddHBand="0" w:evenHBand="0" w:firstRowFirstColumn="0" w:firstRowLastColumn="0" w:lastRowFirstColumn="0" w:lastRowLastColumn="0"/>
            <w:tcW w:w="1886" w:type="dxa"/>
            <w:hideMark/>
          </w:tcPr>
          <w:p w14:paraId="56922A4F" w14:textId="05473BEE" w:rsidR="00AC32D4" w:rsidRPr="00E73D4A" w:rsidRDefault="00AC32D4" w:rsidP="00E73D4A">
            <w:pPr>
              <w:spacing w:before="120" w:line="259" w:lineRule="auto"/>
              <w:textAlignment w:val="baseline"/>
              <w:rPr>
                <w:rFonts w:ascii="Arial" w:hAnsi="Arial" w:cs="Arial"/>
                <w:sz w:val="16"/>
                <w:szCs w:val="16"/>
              </w:rPr>
            </w:pPr>
            <w:r w:rsidRPr="00E73D4A">
              <w:rPr>
                <w:rFonts w:ascii="Arial" w:hAnsi="Arial" w:cs="Arial"/>
                <w:sz w:val="16"/>
                <w:szCs w:val="16"/>
              </w:rPr>
              <w:t>NO</w:t>
            </w:r>
            <w:r w:rsidRPr="00E73D4A">
              <w:rPr>
                <w:rFonts w:ascii="Arial" w:hAnsi="Arial" w:cs="Arial"/>
                <w:sz w:val="16"/>
                <w:szCs w:val="16"/>
                <w:vertAlign w:val="subscript"/>
              </w:rPr>
              <w:t>2</w:t>
            </w:r>
            <w:r w:rsidRPr="00E73D4A">
              <w:rPr>
                <w:rFonts w:ascii="Arial" w:hAnsi="Arial" w:cs="Arial"/>
                <w:sz w:val="16"/>
                <w:szCs w:val="16"/>
              </w:rPr>
              <w:t xml:space="preserve"> 1-hour</w:t>
            </w:r>
            <w:r w:rsidR="00FA2915">
              <w:rPr>
                <w:rFonts w:ascii="Arial" w:hAnsi="Arial" w:cs="Arial"/>
                <w:sz w:val="16"/>
                <w:szCs w:val="16"/>
              </w:rPr>
              <w:br/>
            </w:r>
            <w:hyperlink r:id="rId31" w:history="1">
              <w:r w:rsidR="00342B17" w:rsidRPr="00E73D4A">
                <w:rPr>
                  <w:rFonts w:ascii="Arial" w:hAnsi="Arial" w:cs="Arial"/>
                  <w:color w:val="0563C1"/>
                  <w:sz w:val="16"/>
                  <w:szCs w:val="16"/>
                  <w:u w:val="single"/>
                </w:rPr>
                <w:t>(40 CFR § 50.11)</w:t>
              </w:r>
            </w:hyperlink>
          </w:p>
        </w:tc>
        <w:tc>
          <w:tcPr>
            <w:tcW w:w="965" w:type="dxa"/>
            <w:hideMark/>
          </w:tcPr>
          <w:p w14:paraId="406DFB4E" w14:textId="77777777" w:rsidR="00AC32D4" w:rsidRPr="00E73D4A" w:rsidRDefault="00AC32D4" w:rsidP="00FA5A37">
            <w:pPr>
              <w:pStyle w:val="Form-Bodytext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3</w:t>
            </w:r>
          </w:p>
        </w:tc>
        <w:tc>
          <w:tcPr>
            <w:tcW w:w="966" w:type="dxa"/>
            <w:hideMark/>
          </w:tcPr>
          <w:p w14:paraId="564EBAAC" w14:textId="77777777" w:rsidR="00AC32D4" w:rsidRPr="00E73D4A" w:rsidRDefault="00AC32D4" w:rsidP="00FA5A37">
            <w:pPr>
              <w:pStyle w:val="Form-Bodytext1"/>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5</w:t>
            </w:r>
          </w:p>
        </w:tc>
        <w:tc>
          <w:tcPr>
            <w:tcW w:w="1149" w:type="dxa"/>
            <w:hideMark/>
          </w:tcPr>
          <w:p w14:paraId="255C426F"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100 ppb</w:t>
            </w:r>
          </w:p>
        </w:tc>
        <w:tc>
          <w:tcPr>
            <w:tcW w:w="1149" w:type="dxa"/>
            <w:hideMark/>
          </w:tcPr>
          <w:p w14:paraId="5F6D7004" w14:textId="77777777"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80 ppb</w:t>
            </w:r>
          </w:p>
        </w:tc>
        <w:tc>
          <w:tcPr>
            <w:tcW w:w="3465" w:type="dxa"/>
            <w:hideMark/>
          </w:tcPr>
          <w:p w14:paraId="046F458A" w14:textId="3464E4D8"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A year meets data completeness requirements when all 4 quarters are complete. A quarter is complete when at least 75</w:t>
            </w:r>
            <w:r w:rsidR="00176826">
              <w:rPr>
                <w:rFonts w:ascii="Arial" w:hAnsi="Arial" w:cs="Arial"/>
                <w:sz w:val="16"/>
                <w:szCs w:val="16"/>
              </w:rPr>
              <w:t> </w:t>
            </w:r>
            <w:r w:rsidRPr="00E73D4A">
              <w:rPr>
                <w:rFonts w:ascii="Arial" w:hAnsi="Arial" w:cs="Arial"/>
                <w:sz w:val="16"/>
                <w:szCs w:val="16"/>
              </w:rPr>
              <w:t>percent of the sampling days for each quarter have complete data. A sampling day has complete data if 75</w:t>
            </w:r>
            <w:r w:rsidR="00176826">
              <w:rPr>
                <w:rFonts w:ascii="Arial" w:hAnsi="Arial" w:cs="Arial"/>
                <w:sz w:val="16"/>
                <w:szCs w:val="16"/>
              </w:rPr>
              <w:t> </w:t>
            </w:r>
            <w:r w:rsidRPr="00E73D4A">
              <w:rPr>
                <w:rFonts w:ascii="Arial" w:hAnsi="Arial" w:cs="Arial"/>
                <w:sz w:val="16"/>
                <w:szCs w:val="16"/>
              </w:rPr>
              <w:t>percent of the hourly concentration values have complete data.</w:t>
            </w:r>
          </w:p>
        </w:tc>
        <w:tc>
          <w:tcPr>
            <w:tcW w:w="3465" w:type="dxa"/>
            <w:hideMark/>
          </w:tcPr>
          <w:p w14:paraId="3BCB6AD1" w14:textId="6B64EE0F" w:rsidR="00AC32D4" w:rsidRPr="00E73D4A" w:rsidRDefault="00AC32D4" w:rsidP="00E73D4A">
            <w:pPr>
              <w:pStyle w:val="Form-Bodytext1"/>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73D4A">
              <w:rPr>
                <w:rFonts w:ascii="Arial" w:hAnsi="Arial" w:cs="Arial"/>
                <w:sz w:val="16"/>
                <w:szCs w:val="16"/>
              </w:rPr>
              <w:t xml:space="preserve">The </w:t>
            </w:r>
            <w:r w:rsidR="009E7CC4">
              <w:rPr>
                <w:rFonts w:ascii="Arial" w:hAnsi="Arial" w:cs="Arial"/>
                <w:sz w:val="16"/>
                <w:szCs w:val="16"/>
              </w:rPr>
              <w:t>3</w:t>
            </w:r>
            <w:r w:rsidRPr="00E73D4A">
              <w:rPr>
                <w:rFonts w:ascii="Arial" w:hAnsi="Arial" w:cs="Arial"/>
                <w:sz w:val="16"/>
                <w:szCs w:val="16"/>
              </w:rPr>
              <w:t>-year arithmetic mean of the annual 98</w:t>
            </w:r>
            <w:r w:rsidRPr="00E73D4A">
              <w:rPr>
                <w:rFonts w:ascii="Arial" w:hAnsi="Arial" w:cs="Arial"/>
                <w:sz w:val="16"/>
                <w:szCs w:val="16"/>
                <w:vertAlign w:val="superscript"/>
              </w:rPr>
              <w:t>th</w:t>
            </w:r>
            <w:r w:rsidR="006C2817">
              <w:rPr>
                <w:rFonts w:ascii="Arial" w:hAnsi="Arial" w:cs="Arial"/>
                <w:sz w:val="16"/>
                <w:szCs w:val="16"/>
                <w:vertAlign w:val="superscript"/>
              </w:rPr>
              <w:t> </w:t>
            </w:r>
            <w:r w:rsidRPr="00E73D4A">
              <w:rPr>
                <w:rFonts w:ascii="Arial" w:hAnsi="Arial" w:cs="Arial"/>
                <w:sz w:val="16"/>
                <w:szCs w:val="16"/>
              </w:rPr>
              <w:t>percentile of the daily maximum 1-hour average concentration is less than or equal to 100</w:t>
            </w:r>
            <w:r w:rsidR="006C2817">
              <w:rPr>
                <w:rFonts w:ascii="Arial" w:hAnsi="Arial" w:cs="Arial"/>
                <w:sz w:val="16"/>
                <w:szCs w:val="16"/>
              </w:rPr>
              <w:t> </w:t>
            </w:r>
            <w:r w:rsidRPr="00E73D4A">
              <w:rPr>
                <w:rFonts w:ascii="Arial" w:hAnsi="Arial" w:cs="Arial"/>
                <w:sz w:val="16"/>
                <w:szCs w:val="16"/>
              </w:rPr>
              <w:t>ppb.</w:t>
            </w:r>
          </w:p>
        </w:tc>
      </w:tr>
    </w:tbl>
    <w:p w14:paraId="6D9A6379" w14:textId="77777777" w:rsidR="00AC32D4" w:rsidRPr="00FA2915" w:rsidRDefault="00AC32D4" w:rsidP="00FA2915">
      <w:pPr>
        <w:pStyle w:val="Form-Bodytext1"/>
        <w:spacing w:before="0"/>
        <w:rPr>
          <w:sz w:val="8"/>
          <w:szCs w:val="8"/>
        </w:rPr>
      </w:pPr>
    </w:p>
    <w:sectPr w:rsidR="00AC32D4" w:rsidRPr="00FA2915" w:rsidSect="00A60645">
      <w:pgSz w:w="15840" w:h="12240" w:orient="landscape"/>
      <w:pgMar w:top="864" w:right="720" w:bottom="864" w:left="720"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A2136" w14:textId="77777777" w:rsidR="00ED7192" w:rsidRDefault="00ED7192" w:rsidP="00276BFD">
      <w:r>
        <w:separator/>
      </w:r>
    </w:p>
  </w:endnote>
  <w:endnote w:type="continuationSeparator" w:id="0">
    <w:p w14:paraId="782AF57A" w14:textId="77777777" w:rsidR="00ED7192" w:rsidRDefault="00ED7192"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468FB" w14:textId="26C65AC5"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44DC3236" w14:textId="77777777" w:rsidR="004A6D28" w:rsidRPr="003D65E7" w:rsidRDefault="003D65E7" w:rsidP="003D65E7">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004A6D28" w:rsidRPr="003D65E7">
      <w:rPr>
        <w:rFonts w:ascii="Calibri" w:hAnsi="Calibri"/>
        <w:iCs/>
        <w:sz w:val="16"/>
        <w:szCs w:val="16"/>
      </w:rPr>
      <w:tab/>
      <w:t>•</w:t>
    </w:r>
    <w:r w:rsidR="004A6D28" w:rsidRPr="003D65E7">
      <w:rPr>
        <w:rFonts w:ascii="Calibri" w:hAnsi="Calibri"/>
        <w:iCs/>
        <w:sz w:val="16"/>
        <w:szCs w:val="16"/>
      </w:rPr>
      <w:tab/>
      <w:t>651-296-6300</w:t>
    </w:r>
    <w:r w:rsidR="004A6D28" w:rsidRPr="003D65E7">
      <w:rPr>
        <w:rFonts w:ascii="Calibri" w:hAnsi="Calibri"/>
        <w:iCs/>
        <w:sz w:val="16"/>
        <w:szCs w:val="16"/>
      </w:rPr>
      <w:tab/>
      <w:t>•</w:t>
    </w:r>
    <w:r w:rsidR="004A6D28" w:rsidRPr="003D65E7">
      <w:rPr>
        <w:rFonts w:ascii="Calibri" w:hAnsi="Calibri"/>
        <w:iCs/>
        <w:sz w:val="16"/>
        <w:szCs w:val="16"/>
      </w:rPr>
      <w:tab/>
      <w:t>800-657-3864</w:t>
    </w:r>
    <w:r w:rsidR="004A6D28" w:rsidRPr="003D65E7">
      <w:rPr>
        <w:rFonts w:ascii="Calibri" w:hAnsi="Calibri"/>
        <w:iCs/>
        <w:sz w:val="16"/>
        <w:szCs w:val="16"/>
      </w:rPr>
      <w:tab/>
      <w:t>•</w:t>
    </w:r>
    <w:r w:rsidR="004A6D28" w:rsidRPr="003D65E7">
      <w:rPr>
        <w:rFonts w:ascii="Calibri" w:hAnsi="Calibri"/>
        <w:iCs/>
        <w:sz w:val="16"/>
        <w:szCs w:val="16"/>
      </w:rPr>
      <w:tab/>
    </w:r>
    <w:r w:rsidR="006E439E" w:rsidRPr="003D65E7">
      <w:rPr>
        <w:rFonts w:ascii="Calibri" w:hAnsi="Calibri"/>
        <w:iCs/>
        <w:sz w:val="16"/>
        <w:szCs w:val="16"/>
      </w:rPr>
      <w:t>Use your preferred relay service</w:t>
    </w:r>
    <w:r w:rsidR="004A6D28" w:rsidRPr="003D65E7">
      <w:rPr>
        <w:rFonts w:ascii="Calibri" w:hAnsi="Calibri"/>
        <w:iCs/>
        <w:sz w:val="16"/>
        <w:szCs w:val="16"/>
      </w:rPr>
      <w:tab/>
      <w:t>•</w:t>
    </w:r>
    <w:r w:rsidR="004A6D28" w:rsidRPr="003D65E7">
      <w:rPr>
        <w:rFonts w:ascii="Calibri" w:hAnsi="Calibri"/>
        <w:iCs/>
        <w:sz w:val="16"/>
        <w:szCs w:val="16"/>
      </w:rPr>
      <w:tab/>
      <w:t>Available in alternative formats</w:t>
    </w:r>
  </w:p>
  <w:p w14:paraId="4E7F10F7" w14:textId="45A3B828" w:rsidR="004A6D28" w:rsidRPr="003D65E7" w:rsidRDefault="00225C06" w:rsidP="003D65E7">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a</w:t>
    </w:r>
    <w:r w:rsidR="00D40601">
      <w:rPr>
        <w:rFonts w:ascii="Calibri" w:hAnsi="Calibri" w:cs="Arial"/>
        <w:i/>
        <w:sz w:val="16"/>
        <w:szCs w:val="16"/>
      </w:rPr>
      <w:t>q10-23</w:t>
    </w:r>
    <w:r w:rsidR="004A6D28" w:rsidRPr="003D65E7">
      <w:rPr>
        <w:rFonts w:ascii="Calibri" w:hAnsi="Calibri" w:cs="Arial"/>
        <w:i/>
        <w:sz w:val="16"/>
        <w:szCs w:val="16"/>
      </w:rPr>
      <w:t xml:space="preserve">  • </w:t>
    </w:r>
    <w:r w:rsidR="00D40601">
      <w:rPr>
        <w:rFonts w:ascii="Calibri" w:hAnsi="Calibri" w:cs="Arial"/>
        <w:i/>
        <w:sz w:val="16"/>
        <w:szCs w:val="16"/>
      </w:rPr>
      <w:t xml:space="preserve"> </w:t>
    </w:r>
    <w:r w:rsidR="008E5F52">
      <w:rPr>
        <w:rFonts w:ascii="Calibri" w:hAnsi="Calibri" w:cs="Arial"/>
        <w:i/>
        <w:sz w:val="16"/>
        <w:szCs w:val="16"/>
      </w:rPr>
      <w:t>1</w:t>
    </w:r>
    <w:r w:rsidR="001066DD">
      <w:rPr>
        <w:rFonts w:ascii="Calibri" w:hAnsi="Calibri" w:cs="Arial"/>
        <w:i/>
        <w:sz w:val="16"/>
        <w:szCs w:val="16"/>
      </w:rPr>
      <w:t>2/8</w:t>
    </w:r>
    <w:r w:rsidR="008E5F52">
      <w:rPr>
        <w:rFonts w:ascii="Calibri" w:hAnsi="Calibri" w:cs="Arial"/>
        <w:i/>
        <w:sz w:val="16"/>
        <w:szCs w:val="16"/>
      </w:rPr>
      <w:t>/23</w:t>
    </w:r>
    <w:r w:rsidR="004A6D28" w:rsidRPr="003D65E7">
      <w:rPr>
        <w:rFonts w:ascii="Calibri" w:hAnsi="Calibri" w:cs="Arial"/>
        <w:sz w:val="16"/>
        <w:szCs w:val="16"/>
      </w:rPr>
      <w:tab/>
    </w:r>
    <w:r w:rsidR="004A6D28" w:rsidRPr="003D65E7">
      <w:rPr>
        <w:rFonts w:ascii="Calibri" w:hAnsi="Calibri"/>
        <w:i/>
        <w:iCs/>
        <w:sz w:val="16"/>
        <w:szCs w:val="16"/>
      </w:rPr>
      <w:t xml:space="preserve">Page </w:t>
    </w:r>
    <w:r w:rsidR="004A6D28" w:rsidRPr="003D65E7">
      <w:rPr>
        <w:rStyle w:val="PageNumber"/>
        <w:rFonts w:ascii="Calibri" w:hAnsi="Calibri"/>
        <w:i/>
        <w:iCs/>
        <w:sz w:val="16"/>
        <w:szCs w:val="16"/>
      </w:rPr>
      <w:fldChar w:fldCharType="begin"/>
    </w:r>
    <w:r w:rsidR="004A6D28" w:rsidRPr="003D65E7">
      <w:rPr>
        <w:rStyle w:val="PageNumber"/>
        <w:rFonts w:ascii="Calibri" w:hAnsi="Calibri"/>
        <w:i/>
        <w:iCs/>
        <w:sz w:val="16"/>
        <w:szCs w:val="16"/>
      </w:rPr>
      <w:instrText xml:space="preserve"> PAGE </w:instrText>
    </w:r>
    <w:r w:rsidR="004A6D28" w:rsidRPr="003D65E7">
      <w:rPr>
        <w:rStyle w:val="PageNumber"/>
        <w:rFonts w:ascii="Calibri" w:hAnsi="Calibri"/>
        <w:i/>
        <w:iCs/>
        <w:sz w:val="16"/>
        <w:szCs w:val="16"/>
      </w:rPr>
      <w:fldChar w:fldCharType="separate"/>
    </w:r>
    <w:r w:rsidR="00F50565">
      <w:rPr>
        <w:rStyle w:val="PageNumber"/>
        <w:rFonts w:ascii="Calibri" w:hAnsi="Calibri"/>
        <w:i/>
        <w:iCs/>
        <w:noProof/>
        <w:sz w:val="16"/>
        <w:szCs w:val="16"/>
      </w:rPr>
      <w:t>1</w:t>
    </w:r>
    <w:r w:rsidR="004A6D28" w:rsidRPr="003D65E7">
      <w:rPr>
        <w:rStyle w:val="PageNumber"/>
        <w:rFonts w:ascii="Calibri" w:hAnsi="Calibri"/>
        <w:i/>
        <w:iCs/>
        <w:sz w:val="16"/>
        <w:szCs w:val="16"/>
      </w:rPr>
      <w:fldChar w:fldCharType="end"/>
    </w:r>
    <w:r w:rsidR="004A6D28" w:rsidRPr="003D65E7">
      <w:rPr>
        <w:rFonts w:ascii="Calibri" w:hAnsi="Calibri"/>
        <w:i/>
        <w:iCs/>
        <w:sz w:val="16"/>
        <w:szCs w:val="16"/>
      </w:rPr>
      <w:t xml:space="preserve"> of </w:t>
    </w:r>
    <w:r w:rsidR="004A6D28" w:rsidRPr="003D65E7">
      <w:rPr>
        <w:rStyle w:val="PageNumber"/>
        <w:rFonts w:ascii="Calibri" w:hAnsi="Calibri"/>
        <w:i/>
        <w:sz w:val="16"/>
        <w:szCs w:val="16"/>
      </w:rPr>
      <w:fldChar w:fldCharType="begin"/>
    </w:r>
    <w:r w:rsidR="004A6D28" w:rsidRPr="003D65E7">
      <w:rPr>
        <w:rStyle w:val="PageNumber"/>
        <w:rFonts w:ascii="Calibri" w:hAnsi="Calibri"/>
        <w:i/>
        <w:sz w:val="16"/>
        <w:szCs w:val="16"/>
      </w:rPr>
      <w:instrText xml:space="preserve"> NUMPAGES </w:instrText>
    </w:r>
    <w:r w:rsidR="004A6D28" w:rsidRPr="003D65E7">
      <w:rPr>
        <w:rStyle w:val="PageNumber"/>
        <w:rFonts w:ascii="Calibri" w:hAnsi="Calibri"/>
        <w:i/>
        <w:sz w:val="16"/>
        <w:szCs w:val="16"/>
      </w:rPr>
      <w:fldChar w:fldCharType="separate"/>
    </w:r>
    <w:r w:rsidR="00F50565">
      <w:rPr>
        <w:rStyle w:val="PageNumber"/>
        <w:rFonts w:ascii="Calibri" w:hAnsi="Calibri"/>
        <w:i/>
        <w:noProof/>
        <w:sz w:val="16"/>
        <w:szCs w:val="16"/>
      </w:rPr>
      <w:t>2</w:t>
    </w:r>
    <w:r w:rsidR="004A6D28"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5711A" w14:textId="77777777" w:rsidR="00ED7192" w:rsidRDefault="00ED7192" w:rsidP="00276BFD">
      <w:r>
        <w:separator/>
      </w:r>
    </w:p>
  </w:footnote>
  <w:footnote w:type="continuationSeparator" w:id="0">
    <w:p w14:paraId="6CC9725D" w14:textId="77777777" w:rsidR="00ED7192" w:rsidRDefault="00ED7192"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325D6A"/>
    <w:multiLevelType w:val="hybridMultilevel"/>
    <w:tmpl w:val="97E0F6CC"/>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CF0326"/>
    <w:multiLevelType w:val="hybridMultilevel"/>
    <w:tmpl w:val="7374B59C"/>
    <w:lvl w:ilvl="0" w:tplc="A06254FE">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59865AE"/>
    <w:multiLevelType w:val="hybridMultilevel"/>
    <w:tmpl w:val="3528BB88"/>
    <w:lvl w:ilvl="0" w:tplc="4BF0AB34">
      <w:start w:val="10"/>
      <w:numFmt w:val="decimal"/>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5" w15:restartNumberingAfterBreak="0">
    <w:nsid w:val="2FA1705A"/>
    <w:multiLevelType w:val="hybridMultilevel"/>
    <w:tmpl w:val="F20674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9CE4E2F"/>
    <w:multiLevelType w:val="hybridMultilevel"/>
    <w:tmpl w:val="FC00250A"/>
    <w:lvl w:ilvl="0" w:tplc="E660976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3848E5"/>
    <w:multiLevelType w:val="hybridMultilevel"/>
    <w:tmpl w:val="04C44976"/>
    <w:lvl w:ilvl="0" w:tplc="D45672FE">
      <w:start w:val="7"/>
      <w:numFmt w:val="decimal"/>
      <w:lvlText w:val="%1)"/>
      <w:lvlJc w:val="left"/>
      <w:pPr>
        <w:ind w:left="4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0"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1" w15:restartNumberingAfterBreak="0">
    <w:nsid w:val="44D26FA1"/>
    <w:multiLevelType w:val="hybridMultilevel"/>
    <w:tmpl w:val="67DE3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E06F77"/>
    <w:multiLevelType w:val="hybridMultilevel"/>
    <w:tmpl w:val="E6829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EC6156"/>
    <w:multiLevelType w:val="hybridMultilevel"/>
    <w:tmpl w:val="FFFFFFFF"/>
    <w:lvl w:ilvl="0" w:tplc="FD7C2A04">
      <w:start w:val="1"/>
      <w:numFmt w:val="bullet"/>
      <w:lvlText w:val="·"/>
      <w:lvlJc w:val="left"/>
      <w:pPr>
        <w:ind w:left="720" w:hanging="360"/>
      </w:pPr>
      <w:rPr>
        <w:rFonts w:ascii="Symbol" w:hAnsi="Symbol" w:hint="default"/>
      </w:rPr>
    </w:lvl>
    <w:lvl w:ilvl="1" w:tplc="556C62B4">
      <w:start w:val="1"/>
      <w:numFmt w:val="bullet"/>
      <w:lvlText w:val="o"/>
      <w:lvlJc w:val="left"/>
      <w:pPr>
        <w:ind w:left="1440" w:hanging="360"/>
      </w:pPr>
      <w:rPr>
        <w:rFonts w:ascii="Courier New" w:hAnsi="Courier New" w:hint="default"/>
      </w:rPr>
    </w:lvl>
    <w:lvl w:ilvl="2" w:tplc="034A7EBA">
      <w:start w:val="1"/>
      <w:numFmt w:val="bullet"/>
      <w:lvlText w:val=""/>
      <w:lvlJc w:val="left"/>
      <w:pPr>
        <w:ind w:left="2160" w:hanging="360"/>
      </w:pPr>
      <w:rPr>
        <w:rFonts w:ascii="Wingdings" w:hAnsi="Wingdings" w:hint="default"/>
      </w:rPr>
    </w:lvl>
    <w:lvl w:ilvl="3" w:tplc="4312927A">
      <w:start w:val="1"/>
      <w:numFmt w:val="bullet"/>
      <w:lvlText w:val=""/>
      <w:lvlJc w:val="left"/>
      <w:pPr>
        <w:ind w:left="2880" w:hanging="360"/>
      </w:pPr>
      <w:rPr>
        <w:rFonts w:ascii="Symbol" w:hAnsi="Symbol" w:hint="default"/>
      </w:rPr>
    </w:lvl>
    <w:lvl w:ilvl="4" w:tplc="E8047638">
      <w:start w:val="1"/>
      <w:numFmt w:val="bullet"/>
      <w:lvlText w:val="o"/>
      <w:lvlJc w:val="left"/>
      <w:pPr>
        <w:ind w:left="3600" w:hanging="360"/>
      </w:pPr>
      <w:rPr>
        <w:rFonts w:ascii="Courier New" w:hAnsi="Courier New" w:hint="default"/>
      </w:rPr>
    </w:lvl>
    <w:lvl w:ilvl="5" w:tplc="DE7025F0">
      <w:start w:val="1"/>
      <w:numFmt w:val="bullet"/>
      <w:lvlText w:val=""/>
      <w:lvlJc w:val="left"/>
      <w:pPr>
        <w:ind w:left="4320" w:hanging="360"/>
      </w:pPr>
      <w:rPr>
        <w:rFonts w:ascii="Wingdings" w:hAnsi="Wingdings" w:hint="default"/>
      </w:rPr>
    </w:lvl>
    <w:lvl w:ilvl="6" w:tplc="CB7280EA">
      <w:start w:val="1"/>
      <w:numFmt w:val="bullet"/>
      <w:lvlText w:val=""/>
      <w:lvlJc w:val="left"/>
      <w:pPr>
        <w:ind w:left="5040" w:hanging="360"/>
      </w:pPr>
      <w:rPr>
        <w:rFonts w:ascii="Symbol" w:hAnsi="Symbol" w:hint="default"/>
      </w:rPr>
    </w:lvl>
    <w:lvl w:ilvl="7" w:tplc="22E61812">
      <w:start w:val="1"/>
      <w:numFmt w:val="bullet"/>
      <w:lvlText w:val="o"/>
      <w:lvlJc w:val="left"/>
      <w:pPr>
        <w:ind w:left="5760" w:hanging="360"/>
      </w:pPr>
      <w:rPr>
        <w:rFonts w:ascii="Courier New" w:hAnsi="Courier New" w:hint="default"/>
      </w:rPr>
    </w:lvl>
    <w:lvl w:ilvl="8" w:tplc="DC0EC7F6">
      <w:start w:val="1"/>
      <w:numFmt w:val="bullet"/>
      <w:lvlText w:val=""/>
      <w:lvlJc w:val="left"/>
      <w:pPr>
        <w:ind w:left="6480" w:hanging="360"/>
      </w:pPr>
      <w:rPr>
        <w:rFonts w:ascii="Wingdings" w:hAnsi="Wingdings" w:hint="default"/>
      </w:rPr>
    </w:lvl>
  </w:abstractNum>
  <w:abstractNum w:abstractNumId="15" w15:restartNumberingAfterBreak="0">
    <w:nsid w:val="500B007D"/>
    <w:multiLevelType w:val="hybridMultilevel"/>
    <w:tmpl w:val="BA701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0A753B"/>
    <w:multiLevelType w:val="hybridMultilevel"/>
    <w:tmpl w:val="ED6250E4"/>
    <w:lvl w:ilvl="0" w:tplc="3BBACB5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8"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9" w15:restartNumberingAfterBreak="0">
    <w:nsid w:val="5F74259C"/>
    <w:multiLevelType w:val="hybridMultilevel"/>
    <w:tmpl w:val="3A52AE9C"/>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0"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21" w15:restartNumberingAfterBreak="0">
    <w:nsid w:val="72F86BAE"/>
    <w:multiLevelType w:val="hybridMultilevel"/>
    <w:tmpl w:val="93DA9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3"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18647309">
    <w:abstractNumId w:val="22"/>
  </w:num>
  <w:num w:numId="2" w16cid:durableId="127201257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590815435">
    <w:abstractNumId w:val="9"/>
    <w:lvlOverride w:ilvl="0">
      <w:lvl w:ilvl="0">
        <w:start w:val="1"/>
        <w:numFmt w:val="decimal"/>
        <w:lvlText w:val="%1."/>
        <w:legacy w:legacy="1" w:legacySpace="0" w:legacyIndent="360"/>
        <w:lvlJc w:val="left"/>
        <w:pPr>
          <w:ind w:left="360" w:hanging="360"/>
        </w:pPr>
        <w:rPr>
          <w:b w:val="0"/>
          <w:i w:val="0"/>
        </w:rPr>
      </w:lvl>
    </w:lvlOverride>
  </w:num>
  <w:num w:numId="4" w16cid:durableId="149757993">
    <w:abstractNumId w:val="20"/>
  </w:num>
  <w:num w:numId="5" w16cid:durableId="352658490">
    <w:abstractNumId w:val="20"/>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397677588">
    <w:abstractNumId w:val="10"/>
  </w:num>
  <w:num w:numId="7" w16cid:durableId="147212081">
    <w:abstractNumId w:val="17"/>
  </w:num>
  <w:num w:numId="8" w16cid:durableId="1993824550">
    <w:abstractNumId w:val="18"/>
  </w:num>
  <w:num w:numId="9" w16cid:durableId="711149820">
    <w:abstractNumId w:val="23"/>
  </w:num>
  <w:num w:numId="10" w16cid:durableId="1408846319">
    <w:abstractNumId w:val="23"/>
    <w:lvlOverride w:ilvl="0">
      <w:lvl w:ilvl="0">
        <w:start w:val="1"/>
        <w:numFmt w:val="decimal"/>
        <w:lvlText w:val="%1."/>
        <w:lvlJc w:val="left"/>
        <w:pPr>
          <w:tabs>
            <w:tab w:val="num" w:pos="360"/>
          </w:tabs>
          <w:ind w:left="360" w:hanging="360"/>
        </w:pPr>
        <w:rPr>
          <w:rFonts w:hint="default"/>
          <w:b/>
          <w:i w:val="0"/>
        </w:rPr>
      </w:lvl>
    </w:lvlOverride>
  </w:num>
  <w:num w:numId="11" w16cid:durableId="1018967414">
    <w:abstractNumId w:val="1"/>
  </w:num>
  <w:num w:numId="12" w16cid:durableId="93937114">
    <w:abstractNumId w:val="12"/>
  </w:num>
  <w:num w:numId="13" w16cid:durableId="2085250920">
    <w:abstractNumId w:val="6"/>
  </w:num>
  <w:num w:numId="14" w16cid:durableId="14428530">
    <w:abstractNumId w:val="3"/>
  </w:num>
  <w:num w:numId="15" w16cid:durableId="139276176">
    <w:abstractNumId w:val="4"/>
  </w:num>
  <w:num w:numId="16" w16cid:durableId="1941981923">
    <w:abstractNumId w:val="7"/>
  </w:num>
  <w:num w:numId="17" w16cid:durableId="830759154">
    <w:abstractNumId w:val="14"/>
  </w:num>
  <w:num w:numId="18" w16cid:durableId="111173933">
    <w:abstractNumId w:val="13"/>
  </w:num>
  <w:num w:numId="19" w16cid:durableId="1740133833">
    <w:abstractNumId w:val="2"/>
  </w:num>
  <w:num w:numId="20" w16cid:durableId="386413182">
    <w:abstractNumId w:val="16"/>
  </w:num>
  <w:num w:numId="21" w16cid:durableId="380248463">
    <w:abstractNumId w:val="5"/>
  </w:num>
  <w:num w:numId="22" w16cid:durableId="2072993126">
    <w:abstractNumId w:val="15"/>
  </w:num>
  <w:num w:numId="23" w16cid:durableId="1166048879">
    <w:abstractNumId w:val="11"/>
  </w:num>
  <w:num w:numId="24" w16cid:durableId="1475176574">
    <w:abstractNumId w:val="21"/>
  </w:num>
  <w:num w:numId="25" w16cid:durableId="783891587">
    <w:abstractNumId w:val="8"/>
  </w:num>
  <w:num w:numId="26" w16cid:durableId="20492123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Eqszlu5joIm1kOLaVTe9UzZj9ZuAJwFL+6UIuvyu0tZ04jj8sW25tFLoHsqCicflOnPejUUpjlQ+yX6Oyf4YA==" w:salt="xuzwh86AxkG/gVOdJbknXg=="/>
  <w:styleLockTheme/>
  <w:styleLockQFSet/>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5775"/>
    <w:rsid w:val="0000782F"/>
    <w:rsid w:val="000136A4"/>
    <w:rsid w:val="000233B6"/>
    <w:rsid w:val="00026C93"/>
    <w:rsid w:val="000352A5"/>
    <w:rsid w:val="000752DA"/>
    <w:rsid w:val="0008280B"/>
    <w:rsid w:val="00085C09"/>
    <w:rsid w:val="000933D8"/>
    <w:rsid w:val="000A3A32"/>
    <w:rsid w:val="000A60CC"/>
    <w:rsid w:val="000B72AA"/>
    <w:rsid w:val="000F0C11"/>
    <w:rsid w:val="0010489B"/>
    <w:rsid w:val="001066DD"/>
    <w:rsid w:val="0011088E"/>
    <w:rsid w:val="00151647"/>
    <w:rsid w:val="001534D6"/>
    <w:rsid w:val="001552C9"/>
    <w:rsid w:val="0016441D"/>
    <w:rsid w:val="00165736"/>
    <w:rsid w:val="0017575F"/>
    <w:rsid w:val="00176826"/>
    <w:rsid w:val="00176EA1"/>
    <w:rsid w:val="001923DD"/>
    <w:rsid w:val="00196B16"/>
    <w:rsid w:val="001A0E3E"/>
    <w:rsid w:val="001B6547"/>
    <w:rsid w:val="001B75E6"/>
    <w:rsid w:val="001E0127"/>
    <w:rsid w:val="001E5E99"/>
    <w:rsid w:val="00202212"/>
    <w:rsid w:val="00202F5E"/>
    <w:rsid w:val="002158CA"/>
    <w:rsid w:val="00225C06"/>
    <w:rsid w:val="00230148"/>
    <w:rsid w:val="00244F1A"/>
    <w:rsid w:val="002454A6"/>
    <w:rsid w:val="00252179"/>
    <w:rsid w:val="00261E4D"/>
    <w:rsid w:val="00263B06"/>
    <w:rsid w:val="00274A83"/>
    <w:rsid w:val="00276BFD"/>
    <w:rsid w:val="00282E27"/>
    <w:rsid w:val="002959EC"/>
    <w:rsid w:val="002A555F"/>
    <w:rsid w:val="002A7828"/>
    <w:rsid w:val="002B2B95"/>
    <w:rsid w:val="002C015E"/>
    <w:rsid w:val="002C5280"/>
    <w:rsid w:val="002C65D0"/>
    <w:rsid w:val="002C7FAB"/>
    <w:rsid w:val="002D6A1E"/>
    <w:rsid w:val="002E1C4B"/>
    <w:rsid w:val="002F29B0"/>
    <w:rsid w:val="002F525E"/>
    <w:rsid w:val="00315202"/>
    <w:rsid w:val="003178C5"/>
    <w:rsid w:val="00321182"/>
    <w:rsid w:val="0032180D"/>
    <w:rsid w:val="00321966"/>
    <w:rsid w:val="003247F2"/>
    <w:rsid w:val="00342B17"/>
    <w:rsid w:val="00370447"/>
    <w:rsid w:val="00374078"/>
    <w:rsid w:val="00380CBD"/>
    <w:rsid w:val="003914E5"/>
    <w:rsid w:val="003D65E7"/>
    <w:rsid w:val="003E1EC1"/>
    <w:rsid w:val="003E75DA"/>
    <w:rsid w:val="00402658"/>
    <w:rsid w:val="00404898"/>
    <w:rsid w:val="0042650D"/>
    <w:rsid w:val="00455D70"/>
    <w:rsid w:val="00462F79"/>
    <w:rsid w:val="00463548"/>
    <w:rsid w:val="00475DCB"/>
    <w:rsid w:val="004A6D28"/>
    <w:rsid w:val="004B054E"/>
    <w:rsid w:val="004B6C43"/>
    <w:rsid w:val="004C1DFE"/>
    <w:rsid w:val="004C26E5"/>
    <w:rsid w:val="004D29C1"/>
    <w:rsid w:val="004D5DED"/>
    <w:rsid w:val="004E0E49"/>
    <w:rsid w:val="004F3D41"/>
    <w:rsid w:val="00503D44"/>
    <w:rsid w:val="0050447E"/>
    <w:rsid w:val="00507512"/>
    <w:rsid w:val="00516110"/>
    <w:rsid w:val="00530BE0"/>
    <w:rsid w:val="00533467"/>
    <w:rsid w:val="005375F0"/>
    <w:rsid w:val="005471FB"/>
    <w:rsid w:val="005517CB"/>
    <w:rsid w:val="005574BC"/>
    <w:rsid w:val="005870A0"/>
    <w:rsid w:val="0058714B"/>
    <w:rsid w:val="005B6E3F"/>
    <w:rsid w:val="005C6B1D"/>
    <w:rsid w:val="00605254"/>
    <w:rsid w:val="00611633"/>
    <w:rsid w:val="0064522D"/>
    <w:rsid w:val="00672CC5"/>
    <w:rsid w:val="0067313A"/>
    <w:rsid w:val="006866F8"/>
    <w:rsid w:val="006B289C"/>
    <w:rsid w:val="006C0027"/>
    <w:rsid w:val="006C2817"/>
    <w:rsid w:val="006C4082"/>
    <w:rsid w:val="006D0B11"/>
    <w:rsid w:val="006D23F2"/>
    <w:rsid w:val="006E439E"/>
    <w:rsid w:val="006F1DBA"/>
    <w:rsid w:val="007059B8"/>
    <w:rsid w:val="007110CE"/>
    <w:rsid w:val="00712ECC"/>
    <w:rsid w:val="00747FBC"/>
    <w:rsid w:val="0077248A"/>
    <w:rsid w:val="0078418B"/>
    <w:rsid w:val="007B5E4B"/>
    <w:rsid w:val="007C0065"/>
    <w:rsid w:val="007C389A"/>
    <w:rsid w:val="007D427F"/>
    <w:rsid w:val="007E1863"/>
    <w:rsid w:val="008021A9"/>
    <w:rsid w:val="00820C3A"/>
    <w:rsid w:val="008303E2"/>
    <w:rsid w:val="0083448A"/>
    <w:rsid w:val="008A2387"/>
    <w:rsid w:val="008A3BAB"/>
    <w:rsid w:val="008C195B"/>
    <w:rsid w:val="008C2C87"/>
    <w:rsid w:val="008C79F1"/>
    <w:rsid w:val="008E5F52"/>
    <w:rsid w:val="008F335D"/>
    <w:rsid w:val="009107CD"/>
    <w:rsid w:val="00911054"/>
    <w:rsid w:val="00930127"/>
    <w:rsid w:val="00934DC1"/>
    <w:rsid w:val="00961236"/>
    <w:rsid w:val="009637B7"/>
    <w:rsid w:val="00974292"/>
    <w:rsid w:val="0099017A"/>
    <w:rsid w:val="009908E2"/>
    <w:rsid w:val="009B7BCC"/>
    <w:rsid w:val="009C35D8"/>
    <w:rsid w:val="009C40A6"/>
    <w:rsid w:val="009C7C62"/>
    <w:rsid w:val="009D0CED"/>
    <w:rsid w:val="009E71CE"/>
    <w:rsid w:val="009E7CC4"/>
    <w:rsid w:val="009F7A78"/>
    <w:rsid w:val="00A24DA8"/>
    <w:rsid w:val="00A4065F"/>
    <w:rsid w:val="00A60645"/>
    <w:rsid w:val="00A74AA7"/>
    <w:rsid w:val="00A83853"/>
    <w:rsid w:val="00AA0487"/>
    <w:rsid w:val="00AC32D4"/>
    <w:rsid w:val="00AE6F7C"/>
    <w:rsid w:val="00B000B0"/>
    <w:rsid w:val="00B1066E"/>
    <w:rsid w:val="00B22AA1"/>
    <w:rsid w:val="00B22AC6"/>
    <w:rsid w:val="00B24143"/>
    <w:rsid w:val="00B527F9"/>
    <w:rsid w:val="00B54BCF"/>
    <w:rsid w:val="00B54CB1"/>
    <w:rsid w:val="00B953D6"/>
    <w:rsid w:val="00BB0BA4"/>
    <w:rsid w:val="00BB4AE8"/>
    <w:rsid w:val="00BC7062"/>
    <w:rsid w:val="00BD5633"/>
    <w:rsid w:val="00BE5C1A"/>
    <w:rsid w:val="00C06217"/>
    <w:rsid w:val="00C20ABF"/>
    <w:rsid w:val="00C21ACF"/>
    <w:rsid w:val="00C27F99"/>
    <w:rsid w:val="00C30271"/>
    <w:rsid w:val="00C30BD8"/>
    <w:rsid w:val="00C35B33"/>
    <w:rsid w:val="00C41D20"/>
    <w:rsid w:val="00C44F64"/>
    <w:rsid w:val="00C4799C"/>
    <w:rsid w:val="00C528B8"/>
    <w:rsid w:val="00C53F36"/>
    <w:rsid w:val="00C65482"/>
    <w:rsid w:val="00C75E5F"/>
    <w:rsid w:val="00C80170"/>
    <w:rsid w:val="00C86512"/>
    <w:rsid w:val="00C95CC3"/>
    <w:rsid w:val="00CB10FD"/>
    <w:rsid w:val="00CB3002"/>
    <w:rsid w:val="00CB6325"/>
    <w:rsid w:val="00CD046A"/>
    <w:rsid w:val="00CF2860"/>
    <w:rsid w:val="00D1155A"/>
    <w:rsid w:val="00D3152D"/>
    <w:rsid w:val="00D40601"/>
    <w:rsid w:val="00D46981"/>
    <w:rsid w:val="00D46AC0"/>
    <w:rsid w:val="00D47009"/>
    <w:rsid w:val="00D53867"/>
    <w:rsid w:val="00D5516A"/>
    <w:rsid w:val="00D556FF"/>
    <w:rsid w:val="00D67A3D"/>
    <w:rsid w:val="00D77602"/>
    <w:rsid w:val="00DB26A4"/>
    <w:rsid w:val="00DB2DD3"/>
    <w:rsid w:val="00DB4CEC"/>
    <w:rsid w:val="00DB4FA1"/>
    <w:rsid w:val="00DC6FC1"/>
    <w:rsid w:val="00DD6B22"/>
    <w:rsid w:val="00E04466"/>
    <w:rsid w:val="00E11AE7"/>
    <w:rsid w:val="00E234B8"/>
    <w:rsid w:val="00E2747A"/>
    <w:rsid w:val="00E3050F"/>
    <w:rsid w:val="00E32BFE"/>
    <w:rsid w:val="00E34E5E"/>
    <w:rsid w:val="00E406FC"/>
    <w:rsid w:val="00E51823"/>
    <w:rsid w:val="00E65B28"/>
    <w:rsid w:val="00E66E3D"/>
    <w:rsid w:val="00E73D4A"/>
    <w:rsid w:val="00E81B26"/>
    <w:rsid w:val="00E93749"/>
    <w:rsid w:val="00EA40E5"/>
    <w:rsid w:val="00EA4DCB"/>
    <w:rsid w:val="00EB2BD8"/>
    <w:rsid w:val="00EC699C"/>
    <w:rsid w:val="00ED7192"/>
    <w:rsid w:val="00EE314E"/>
    <w:rsid w:val="00F00755"/>
    <w:rsid w:val="00F12A3E"/>
    <w:rsid w:val="00F24407"/>
    <w:rsid w:val="00F2691D"/>
    <w:rsid w:val="00F50565"/>
    <w:rsid w:val="00F710DA"/>
    <w:rsid w:val="00F86D42"/>
    <w:rsid w:val="00FA2915"/>
    <w:rsid w:val="00FA5A37"/>
    <w:rsid w:val="00FC3C62"/>
    <w:rsid w:val="00FC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2E46D"/>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table" w:styleId="TableGrid">
    <w:name w:val="Table Grid"/>
    <w:basedOn w:val="TableNormal"/>
    <w:uiPriority w:val="59"/>
    <w:rsid w:val="00711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30148"/>
    <w:rPr>
      <w:sz w:val="18"/>
      <w:szCs w:val="24"/>
    </w:rPr>
  </w:style>
  <w:style w:type="character" w:styleId="UnresolvedMention">
    <w:name w:val="Unresolved Mention"/>
    <w:basedOn w:val="DefaultParagraphFont"/>
    <w:uiPriority w:val="99"/>
    <w:semiHidden/>
    <w:unhideWhenUsed/>
    <w:rsid w:val="001552C9"/>
    <w:rPr>
      <w:color w:val="605E5C"/>
      <w:shd w:val="clear" w:color="auto" w:fill="E1DFDD"/>
    </w:rPr>
  </w:style>
  <w:style w:type="paragraph" w:styleId="ListParagraph">
    <w:name w:val="List Paragraph"/>
    <w:basedOn w:val="Normal"/>
    <w:uiPriority w:val="34"/>
    <w:qFormat/>
    <w:rsid w:val="00E3050F"/>
    <w:pPr>
      <w:ind w:left="720"/>
      <w:contextualSpacing/>
    </w:pPr>
  </w:style>
  <w:style w:type="table" w:customStyle="1" w:styleId="GridTable1Light-Accent11">
    <w:name w:val="Grid Table 1 Light - Accent 11"/>
    <w:basedOn w:val="TableNormal"/>
    <w:next w:val="GridTable1Light-Accent1"/>
    <w:uiPriority w:val="46"/>
    <w:rsid w:val="00AC32D4"/>
    <w:rPr>
      <w:rFonts w:ascii="Calibri" w:eastAsia="Calibri" w:hAnsi="Calibri"/>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C32D4"/>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961236"/>
    <w:rPr>
      <w:sz w:val="16"/>
      <w:szCs w:val="16"/>
    </w:rPr>
  </w:style>
  <w:style w:type="paragraph" w:styleId="CommentText">
    <w:name w:val="annotation text"/>
    <w:basedOn w:val="Normal"/>
    <w:link w:val="CommentTextChar"/>
    <w:uiPriority w:val="99"/>
    <w:unhideWhenUsed/>
    <w:rsid w:val="00961236"/>
    <w:rPr>
      <w:sz w:val="20"/>
      <w:szCs w:val="20"/>
    </w:rPr>
  </w:style>
  <w:style w:type="character" w:customStyle="1" w:styleId="CommentTextChar">
    <w:name w:val="Comment Text Char"/>
    <w:basedOn w:val="DefaultParagraphFont"/>
    <w:link w:val="CommentText"/>
    <w:uiPriority w:val="99"/>
    <w:rsid w:val="00961236"/>
  </w:style>
  <w:style w:type="paragraph" w:styleId="CommentSubject">
    <w:name w:val="annotation subject"/>
    <w:basedOn w:val="CommentText"/>
    <w:next w:val="CommentText"/>
    <w:link w:val="CommentSubjectChar"/>
    <w:uiPriority w:val="99"/>
    <w:semiHidden/>
    <w:unhideWhenUsed/>
    <w:rsid w:val="00961236"/>
    <w:rPr>
      <w:b/>
      <w:bCs/>
    </w:rPr>
  </w:style>
  <w:style w:type="character" w:customStyle="1" w:styleId="CommentSubjectChar">
    <w:name w:val="Comment Subject Char"/>
    <w:basedOn w:val="CommentTextChar"/>
    <w:link w:val="CommentSubject"/>
    <w:uiPriority w:val="99"/>
    <w:semiHidden/>
    <w:rsid w:val="009612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cfr.gov/current/title-40/chapter-I/subchapter-C/part-50/section-50.18" TargetMode="External"/><Relationship Id="rId18" Type="http://schemas.openxmlformats.org/officeDocument/2006/relationships/hyperlink" Target="https://www.revisor.mn.gov/rules/7009.0080/" TargetMode="External"/><Relationship Id="rId26" Type="http://schemas.openxmlformats.org/officeDocument/2006/relationships/hyperlink" Target="https://www.ecfr.gov/current/title-40/chapter-I/subchapter-C/part-50/section-50.17" TargetMode="External"/><Relationship Id="rId3" Type="http://schemas.openxmlformats.org/officeDocument/2006/relationships/styles" Target="styles.xml"/><Relationship Id="rId21" Type="http://schemas.openxmlformats.org/officeDocument/2006/relationships/hyperlink" Target="https://www.revisor.mn.gov/rules/7009.0080/"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revisor.mn.gov/rules/7009.0080/" TargetMode="External"/><Relationship Id="rId25" Type="http://schemas.openxmlformats.org/officeDocument/2006/relationships/hyperlink" Target="https://www.ecfr.gov/current/title-40/chapter-I/subchapter-C/part-50/section-50.1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visor.mn.gov/rules/7009.0080/" TargetMode="External"/><Relationship Id="rId20" Type="http://schemas.openxmlformats.org/officeDocument/2006/relationships/hyperlink" Target="https://www.revisor.mn.gov/rules/7009.0080/" TargetMode="External"/><Relationship Id="rId29" Type="http://schemas.openxmlformats.org/officeDocument/2006/relationships/hyperlink" Target="https://www.revisor.mn.gov/rules/7009.00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about-mpca/environmental-justice" TargetMode="External"/><Relationship Id="rId24" Type="http://schemas.openxmlformats.org/officeDocument/2006/relationships/hyperlink" Target="https://www.ecfr.gov/current/title-40/chapter-I/subchapter-C/part-50/section-50.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cfr.gov/current/title-40/chapter-I/subchapter-C/part-50/section-50.6" TargetMode="External"/><Relationship Id="rId23" Type="http://schemas.openxmlformats.org/officeDocument/2006/relationships/hyperlink" Target="https://www.ecfr.gov/current/title-40/chapter-I/subchapter-C/part-50/section-50.8" TargetMode="External"/><Relationship Id="rId28" Type="http://schemas.openxmlformats.org/officeDocument/2006/relationships/hyperlink" Target="https://www.revisor.mn.gov/rules/7009.0080/" TargetMode="External"/><Relationship Id="rId10" Type="http://schemas.openxmlformats.org/officeDocument/2006/relationships/hyperlink" Target="https://www.pca.state.mn.us/air/synthetic-minor-permit-limits%20" TargetMode="External"/><Relationship Id="rId19" Type="http://schemas.openxmlformats.org/officeDocument/2006/relationships/hyperlink" Target="https://www.revisor.mn.gov/rules/7009.0080/" TargetMode="External"/><Relationship Id="rId31" Type="http://schemas.openxmlformats.org/officeDocument/2006/relationships/hyperlink" Target="https://www.ecfr.gov/current/title-40/chapter-I/subchapter-C/part-50/section-50.11" TargetMode="External"/><Relationship Id="rId4" Type="http://schemas.openxmlformats.org/officeDocument/2006/relationships/settings" Target="settings.xml"/><Relationship Id="rId9" Type="http://schemas.openxmlformats.org/officeDocument/2006/relationships/hyperlink" Target="https://www.pca.state.mn.us/business-with-us/air-quality-modeling" TargetMode="External"/><Relationship Id="rId14" Type="http://schemas.openxmlformats.org/officeDocument/2006/relationships/hyperlink" Target="https://www.ecfr.gov/current/title-40/chapter-I/subchapter-C/part-50/section-50.18" TargetMode="External"/><Relationship Id="rId22" Type="http://schemas.openxmlformats.org/officeDocument/2006/relationships/hyperlink" Target="https://www.ecfr.gov/current/title-40/chapter-I/subchapter-C/part-50/section-50.16" TargetMode="External"/><Relationship Id="rId27" Type="http://schemas.openxmlformats.org/officeDocument/2006/relationships/hyperlink" Target="https://www.ecfr.gov/current/title-40/chapter-I/subchapter-C/part-50/section-50.17" TargetMode="External"/><Relationship Id="rId30" Type="http://schemas.openxmlformats.org/officeDocument/2006/relationships/hyperlink" Target="https://www.ecfr.gov/current/title-40/chapter-I/subchapter-C/part-50/section-5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DE2BA-A371-4BFE-91FE-95E96DD76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2928</Words>
  <Characters>16691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OR-01 Conditional Ambient Monitoring Off-Ramp Request - Air Quality Permit Program - form</vt:lpstr>
    </vt:vector>
  </TitlesOfParts>
  <Manager>Chris Klucas (SS)</Manager>
  <Company>PCA</Company>
  <LinksUpToDate>false</LinksUpToDate>
  <CharactersWithSpaces>19580</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OR-01 Conditional Ambient Monitoring Off-Ramp Request - Air Quality Permit Program - form</dc:title>
  <dc:subject>Form used to request an off-ramp for existing monitoring requirements in an air permit as part of a major amendment.</dc:subject>
  <dc:creator>Minnesota Pollution Control Agency - Robert Little and Rand Silvers (Sandra Simbeck)</dc:creator>
  <cp:keywords>Minnesota Pollution Control Agency,MPCA,aq10-23,OR-01,air quality,conditional ambient monitoring off-ramp request</cp:keywords>
  <dc:description/>
  <cp:lastModifiedBy>Simbeck, Sandra (MPCA)</cp:lastModifiedBy>
  <cp:revision>14</cp:revision>
  <cp:lastPrinted>2019-08-01T13:35:00Z</cp:lastPrinted>
  <dcterms:created xsi:type="dcterms:W3CDTF">2023-12-07T17:16:00Z</dcterms:created>
  <dcterms:modified xsi:type="dcterms:W3CDTF">2023-12-08T17:59:00Z</dcterms:modified>
  <cp:category>air quality,permitting</cp:category>
</cp:coreProperties>
</file>